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1F" w:rsidRDefault="000A1C1F" w:rsidP="00352DBC">
      <w:pPr>
        <w:pStyle w:val="Heading2"/>
        <w:rPr>
          <w:rFonts w:asciiTheme="minorHAnsi" w:hAnsiTheme="minorHAnsi"/>
        </w:rPr>
      </w:pPr>
      <w:r>
        <w:rPr>
          <w:rFonts w:asciiTheme="minorHAnsi" w:hAnsiTheme="minorHAnsi"/>
        </w:rPr>
        <w:t>UIT Knowledge Base (self-service help articles)</w:t>
      </w:r>
    </w:p>
    <w:p w:rsidR="000A1C1F" w:rsidRPr="000A1C1F" w:rsidRDefault="000A1C1F" w:rsidP="00352DBC">
      <w:pPr>
        <w:pStyle w:val="Heading2"/>
        <w:rPr>
          <w:rFonts w:asciiTheme="minorHAnsi" w:hAnsiTheme="minorHAnsi"/>
          <w:b w:val="0"/>
          <w:sz w:val="22"/>
          <w:szCs w:val="22"/>
        </w:rPr>
      </w:pPr>
      <w:hyperlink r:id="rId5" w:history="1">
        <w:r w:rsidRPr="00A874DA">
          <w:rPr>
            <w:rStyle w:val="Hyperlink"/>
            <w:rFonts w:asciiTheme="minorHAnsi" w:hAnsiTheme="minorHAnsi"/>
            <w:b w:val="0"/>
            <w:sz w:val="22"/>
            <w:szCs w:val="22"/>
          </w:rPr>
          <w:t>https://uofu.service-now.com/cf/kb_find.do</w:t>
        </w:r>
      </w:hyperlink>
      <w:r>
        <w:rPr>
          <w:rFonts w:asciiTheme="minorHAnsi" w:hAnsiTheme="minorHAnsi"/>
          <w:b w:val="0"/>
          <w:sz w:val="22"/>
          <w:szCs w:val="22"/>
        </w:rPr>
        <w:t xml:space="preserve"> </w:t>
      </w:r>
    </w:p>
    <w:p w:rsidR="000A1C1F" w:rsidRDefault="000A1C1F" w:rsidP="00352DBC">
      <w:pPr>
        <w:pStyle w:val="Heading2"/>
        <w:rPr>
          <w:rFonts w:asciiTheme="minorHAnsi" w:hAnsiTheme="minorHAnsi"/>
        </w:rPr>
      </w:pPr>
    </w:p>
    <w:p w:rsidR="000A1C1F" w:rsidRDefault="000A1C1F" w:rsidP="00352DBC">
      <w:pPr>
        <w:pStyle w:val="Heading2"/>
        <w:rPr>
          <w:rFonts w:asciiTheme="minorHAnsi" w:hAnsiTheme="minorHAnsi"/>
        </w:rPr>
      </w:pPr>
      <w:r>
        <w:rPr>
          <w:rFonts w:asciiTheme="minorHAnsi" w:hAnsiTheme="minorHAnsi"/>
        </w:rPr>
        <w:t>UIT Service Catalog</w:t>
      </w:r>
    </w:p>
    <w:p w:rsidR="000A1C1F" w:rsidRPr="000A1C1F" w:rsidRDefault="000A1C1F" w:rsidP="00352DBC">
      <w:pPr>
        <w:pStyle w:val="Heading2"/>
        <w:rPr>
          <w:rFonts w:asciiTheme="minorHAnsi" w:hAnsiTheme="minorHAnsi"/>
          <w:b w:val="0"/>
          <w:sz w:val="22"/>
          <w:szCs w:val="22"/>
        </w:rPr>
      </w:pPr>
      <w:hyperlink r:id="rId6" w:history="1">
        <w:r w:rsidRPr="00A874DA">
          <w:rPr>
            <w:rStyle w:val="Hyperlink"/>
            <w:rFonts w:asciiTheme="minorHAnsi" w:hAnsiTheme="minorHAnsi"/>
            <w:b w:val="0"/>
            <w:sz w:val="22"/>
            <w:szCs w:val="22"/>
          </w:rPr>
          <w:t>https://uofu.service-now.com/cf/catalog.do</w:t>
        </w:r>
      </w:hyperlink>
      <w:r>
        <w:rPr>
          <w:rFonts w:asciiTheme="minorHAnsi" w:hAnsiTheme="minorHAnsi"/>
          <w:b w:val="0"/>
          <w:sz w:val="22"/>
          <w:szCs w:val="22"/>
        </w:rPr>
        <w:t xml:space="preserve"> </w:t>
      </w:r>
    </w:p>
    <w:p w:rsidR="000A1C1F" w:rsidRDefault="000A1C1F" w:rsidP="00352DBC">
      <w:pPr>
        <w:pStyle w:val="Heading2"/>
        <w:rPr>
          <w:rFonts w:asciiTheme="minorHAnsi" w:hAnsiTheme="minorHAnsi"/>
        </w:rPr>
      </w:pPr>
    </w:p>
    <w:p w:rsidR="000A1C1F" w:rsidRDefault="000A1C1F" w:rsidP="00352DBC">
      <w:pPr>
        <w:pStyle w:val="Heading2"/>
        <w:rPr>
          <w:rFonts w:asciiTheme="minorHAnsi" w:hAnsiTheme="minorHAnsi"/>
        </w:rPr>
      </w:pPr>
      <w:r>
        <w:rPr>
          <w:rFonts w:asciiTheme="minorHAnsi" w:hAnsiTheme="minorHAnsi"/>
        </w:rPr>
        <w:t>UIT Website</w:t>
      </w:r>
    </w:p>
    <w:p w:rsidR="000A1C1F" w:rsidRDefault="000A1C1F" w:rsidP="00352DBC">
      <w:pPr>
        <w:pStyle w:val="Heading2"/>
        <w:rPr>
          <w:rFonts w:asciiTheme="minorHAnsi" w:hAnsiTheme="minorHAnsi"/>
          <w:b w:val="0"/>
          <w:sz w:val="22"/>
          <w:szCs w:val="22"/>
        </w:rPr>
      </w:pPr>
      <w:hyperlink r:id="rId7" w:history="1">
        <w:r w:rsidRPr="00A874DA">
          <w:rPr>
            <w:rStyle w:val="Hyperlink"/>
            <w:rFonts w:asciiTheme="minorHAnsi" w:hAnsiTheme="minorHAnsi"/>
            <w:b w:val="0"/>
            <w:sz w:val="22"/>
            <w:szCs w:val="22"/>
          </w:rPr>
          <w:t>http://it.utah.edu</w:t>
        </w:r>
      </w:hyperlink>
      <w:r>
        <w:rPr>
          <w:rFonts w:asciiTheme="minorHAnsi" w:hAnsiTheme="minorHAnsi"/>
          <w:b w:val="0"/>
          <w:sz w:val="22"/>
          <w:szCs w:val="22"/>
        </w:rPr>
        <w:t xml:space="preserve"> </w:t>
      </w:r>
    </w:p>
    <w:p w:rsidR="000A1C1F" w:rsidRDefault="000A1C1F" w:rsidP="00352DBC">
      <w:pPr>
        <w:pStyle w:val="Heading2"/>
        <w:rPr>
          <w:rFonts w:asciiTheme="minorHAnsi" w:hAnsiTheme="minorHAnsi"/>
        </w:rPr>
      </w:pPr>
    </w:p>
    <w:p w:rsidR="000A1C1F" w:rsidRPr="000A1C1F" w:rsidRDefault="000A1C1F" w:rsidP="00352DBC">
      <w:pPr>
        <w:pStyle w:val="Heading2"/>
        <w:rPr>
          <w:rFonts w:asciiTheme="minorHAnsi" w:hAnsiTheme="minorHAnsi"/>
        </w:rPr>
      </w:pPr>
      <w:r w:rsidRPr="000A1C1F">
        <w:rPr>
          <w:rFonts w:asciiTheme="minorHAnsi" w:hAnsiTheme="minorHAnsi"/>
        </w:rPr>
        <w:t>CIO Website, including IT governance information</w:t>
      </w:r>
    </w:p>
    <w:p w:rsidR="000A1C1F" w:rsidRPr="000A1C1F" w:rsidRDefault="000A1C1F" w:rsidP="00352DBC">
      <w:pPr>
        <w:pStyle w:val="Heading2"/>
        <w:rPr>
          <w:rFonts w:asciiTheme="minorHAnsi" w:hAnsiTheme="minorHAnsi"/>
          <w:b w:val="0"/>
          <w:sz w:val="22"/>
          <w:szCs w:val="22"/>
        </w:rPr>
      </w:pPr>
      <w:hyperlink r:id="rId8" w:history="1">
        <w:r w:rsidRPr="00A874DA">
          <w:rPr>
            <w:rStyle w:val="Hyperlink"/>
            <w:rFonts w:asciiTheme="minorHAnsi" w:hAnsiTheme="minorHAnsi"/>
            <w:b w:val="0"/>
            <w:sz w:val="22"/>
            <w:szCs w:val="22"/>
          </w:rPr>
          <w:t>http://cio.utah.edu</w:t>
        </w:r>
      </w:hyperlink>
      <w:r>
        <w:rPr>
          <w:rFonts w:asciiTheme="minorHAnsi" w:hAnsiTheme="minorHAnsi"/>
          <w:b w:val="0"/>
          <w:sz w:val="22"/>
          <w:szCs w:val="22"/>
        </w:rPr>
        <w:t xml:space="preserve"> </w:t>
      </w:r>
    </w:p>
    <w:p w:rsidR="000A1C1F" w:rsidRDefault="000A1C1F" w:rsidP="00352DBC">
      <w:pPr>
        <w:pStyle w:val="Heading2"/>
        <w:rPr>
          <w:rFonts w:asciiTheme="minorHAnsi" w:hAnsiTheme="minorHAnsi"/>
        </w:rPr>
      </w:pPr>
    </w:p>
    <w:p w:rsidR="00352DBC" w:rsidRPr="00352DBC" w:rsidRDefault="00352DBC" w:rsidP="00352DBC">
      <w:pPr>
        <w:pStyle w:val="Heading2"/>
        <w:rPr>
          <w:rFonts w:asciiTheme="minorHAnsi" w:hAnsiTheme="minorHAnsi"/>
        </w:rPr>
      </w:pPr>
      <w:bookmarkStart w:id="0" w:name="_GoBack"/>
      <w:bookmarkEnd w:id="0"/>
      <w:r w:rsidRPr="00352DBC">
        <w:rPr>
          <w:rFonts w:asciiTheme="minorHAnsi" w:hAnsiTheme="minorHAnsi"/>
        </w:rPr>
        <w:t>FACULTY ACTIVITY REPORTING SYSTEMS</w:t>
      </w:r>
    </w:p>
    <w:tbl>
      <w:tblPr>
        <w:tblW w:w="4800" w:type="pct"/>
        <w:tblCellSpacing w:w="37" w:type="dxa"/>
        <w:tblCellMar>
          <w:top w:w="120" w:type="dxa"/>
          <w:left w:w="120" w:type="dxa"/>
          <w:bottom w:w="120" w:type="dxa"/>
          <w:right w:w="120" w:type="dxa"/>
        </w:tblCellMar>
        <w:tblLook w:val="04A0" w:firstRow="1" w:lastRow="0" w:firstColumn="1" w:lastColumn="0" w:noHBand="0" w:noVBand="1"/>
      </w:tblPr>
      <w:tblGrid>
        <w:gridCol w:w="3441"/>
        <w:gridCol w:w="5545"/>
      </w:tblGrid>
      <w:tr w:rsidR="00352DBC" w:rsidRPr="00352DBC" w:rsidTr="00352DBC">
        <w:trPr>
          <w:tblCellSpacing w:w="37" w:type="dxa"/>
        </w:trPr>
        <w:tc>
          <w:tcPr>
            <w:tcW w:w="1900" w:type="pct"/>
            <w:shd w:val="clear" w:color="auto" w:fill="EEEEEE"/>
            <w:vAlign w:val="center"/>
            <w:hideMark/>
          </w:tcPr>
          <w:p w:rsidR="00352DBC" w:rsidRPr="00352DBC" w:rsidRDefault="00352DBC">
            <w:hyperlink r:id="rId9" w:history="1">
              <w:r w:rsidRPr="00352DBC">
                <w:rPr>
                  <w:rStyle w:val="Hyperlink"/>
                </w:rPr>
                <w:t>Profile Website System</w:t>
              </w:r>
            </w:hyperlink>
          </w:p>
        </w:tc>
        <w:tc>
          <w:tcPr>
            <w:tcW w:w="3100" w:type="pct"/>
            <w:shd w:val="clear" w:color="auto" w:fill="EEEEEE"/>
            <w:vAlign w:val="center"/>
            <w:hideMark/>
          </w:tcPr>
          <w:p w:rsidR="00352DBC" w:rsidRPr="00352DBC" w:rsidRDefault="00352DBC" w:rsidP="000A1C1F">
            <w:pPr>
              <w:pStyle w:val="NormalWeb"/>
              <w:rPr>
                <w:rFonts w:asciiTheme="minorHAnsi" w:hAnsiTheme="minorHAnsi"/>
              </w:rPr>
            </w:pPr>
            <w:r w:rsidRPr="00352DBC">
              <w:rPr>
                <w:rFonts w:asciiTheme="minorHAnsi" w:hAnsiTheme="minorHAnsi"/>
              </w:rPr>
              <w:t xml:space="preserve">Profile Website entry/edit system. Faculty members, instructors, and/or their proxies may maintain websites linked from the public Find a Researcher, the Class Schedule, and the My Classes </w:t>
            </w:r>
            <w:proofErr w:type="spellStart"/>
            <w:r w:rsidRPr="00352DBC">
              <w:rPr>
                <w:rFonts w:asciiTheme="minorHAnsi" w:hAnsiTheme="minorHAnsi"/>
              </w:rPr>
              <w:t>pagelet</w:t>
            </w:r>
            <w:proofErr w:type="spellEnd"/>
            <w:r w:rsidRPr="00352DBC">
              <w:rPr>
                <w:rFonts w:asciiTheme="minorHAnsi" w:hAnsiTheme="minorHAnsi"/>
              </w:rPr>
              <w:t xml:space="preserve"> in CIS. </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0" w:history="1">
              <w:r w:rsidRPr="00352DBC">
                <w:rPr>
                  <w:rStyle w:val="Hyperlink"/>
                </w:rPr>
                <w:t>Public Find a Researcher</w:t>
              </w:r>
            </w:hyperlink>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Public search site that allows users to find U of U faculty, graduate students, and other researchers based on research keywords, name, department, international experience, and research equipment/testing capability. Searchable data is pulled from the FAR and Profile Website system.</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1" w:history="1">
              <w:r w:rsidRPr="00352DBC">
                <w:rPr>
                  <w:rStyle w:val="Hyperlink"/>
                </w:rPr>
                <w:t>Faculty Activity Report (FAR)</w:t>
              </w:r>
            </w:hyperlink>
          </w:p>
        </w:tc>
        <w:tc>
          <w:tcPr>
            <w:tcW w:w="0" w:type="auto"/>
            <w:shd w:val="clear" w:color="auto" w:fill="EEEEEE"/>
            <w:vAlign w:val="center"/>
            <w:hideMark/>
          </w:tcPr>
          <w:p w:rsidR="00352DBC" w:rsidRPr="00352DBC" w:rsidRDefault="00352DBC" w:rsidP="000A1C1F">
            <w:pPr>
              <w:pStyle w:val="NormalWeb"/>
              <w:rPr>
                <w:rFonts w:asciiTheme="minorHAnsi" w:hAnsiTheme="minorHAnsi"/>
              </w:rPr>
            </w:pPr>
            <w:r w:rsidRPr="00352DBC">
              <w:rPr>
                <w:rFonts w:asciiTheme="minorHAnsi" w:hAnsiTheme="minorHAnsi"/>
              </w:rPr>
              <w:t xml:space="preserve">Annual faculty activity data collection and reporting application. Faculty members or their proxies may access their FARs 24/7/365 using their </w:t>
            </w:r>
            <w:proofErr w:type="spellStart"/>
            <w:r w:rsidRPr="00352DBC">
              <w:rPr>
                <w:rFonts w:asciiTheme="minorHAnsi" w:hAnsiTheme="minorHAnsi"/>
              </w:rPr>
              <w:t>uNIDs</w:t>
            </w:r>
            <w:proofErr w:type="spellEnd"/>
            <w:r w:rsidRPr="00352DBC">
              <w:rPr>
                <w:rFonts w:asciiTheme="minorHAnsi" w:hAnsiTheme="minorHAnsi"/>
              </w:rPr>
              <w:t xml:space="preserve"> and CIS passwords. </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2" w:history="1">
              <w:r w:rsidRPr="00352DBC">
                <w:rPr>
                  <w:rStyle w:val="Hyperlink"/>
                </w:rPr>
                <w:t>FAR Aggregate and Individual Reports</w:t>
              </w:r>
            </w:hyperlink>
          </w:p>
        </w:tc>
        <w:tc>
          <w:tcPr>
            <w:tcW w:w="0" w:type="auto"/>
            <w:shd w:val="clear" w:color="auto" w:fill="EEEEEE"/>
            <w:vAlign w:val="center"/>
            <w:hideMark/>
          </w:tcPr>
          <w:p w:rsidR="00352DBC" w:rsidRPr="00352DBC" w:rsidRDefault="00352DBC" w:rsidP="000A1C1F">
            <w:pPr>
              <w:pStyle w:val="NormalWeb"/>
              <w:rPr>
                <w:rFonts w:asciiTheme="minorHAnsi" w:hAnsiTheme="minorHAnsi"/>
              </w:rPr>
            </w:pPr>
            <w:r w:rsidRPr="00352DBC">
              <w:rPr>
                <w:rFonts w:asciiTheme="minorHAnsi" w:hAnsiTheme="minorHAnsi"/>
              </w:rPr>
              <w:t xml:space="preserve">Those with FAR admin rights may log in to access their departmental/college individual FARs, CVs, and aggregate reports. FAR admins may access the system 24/7/365 using their </w:t>
            </w:r>
            <w:proofErr w:type="spellStart"/>
            <w:r w:rsidRPr="00352DBC">
              <w:rPr>
                <w:rFonts w:asciiTheme="minorHAnsi" w:hAnsiTheme="minorHAnsi"/>
              </w:rPr>
              <w:t>uNIDs</w:t>
            </w:r>
            <w:proofErr w:type="spellEnd"/>
            <w:r w:rsidRPr="00352DBC">
              <w:rPr>
                <w:rFonts w:asciiTheme="minorHAnsi" w:hAnsiTheme="minorHAnsi"/>
              </w:rPr>
              <w:t xml:space="preserve"> and CIS passwords. </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3" w:history="1">
              <w:r w:rsidRPr="00352DBC">
                <w:rPr>
                  <w:rStyle w:val="Hyperlink"/>
                </w:rPr>
                <w:t>FAR Self Service</w:t>
              </w:r>
            </w:hyperlink>
          </w:p>
        </w:tc>
        <w:tc>
          <w:tcPr>
            <w:tcW w:w="0" w:type="auto"/>
            <w:shd w:val="clear" w:color="auto" w:fill="EEEEEE"/>
            <w:vAlign w:val="center"/>
            <w:hideMark/>
          </w:tcPr>
          <w:p w:rsidR="00352DBC" w:rsidRPr="00352DBC" w:rsidRDefault="00352DBC" w:rsidP="000A1C1F">
            <w:pPr>
              <w:pStyle w:val="NormalWeb"/>
              <w:rPr>
                <w:rFonts w:asciiTheme="minorHAnsi" w:hAnsiTheme="minorHAnsi"/>
              </w:rPr>
            </w:pPr>
            <w:r w:rsidRPr="00352DBC">
              <w:rPr>
                <w:rFonts w:asciiTheme="minorHAnsi" w:hAnsiTheme="minorHAnsi"/>
              </w:rPr>
              <w:t xml:space="preserve">Those with FAR admin rights may log in to perform selected admin tasks including setting FAR year start and end dates; granting and removing admin rights; and designating department- or college-wide proxy access to FARs and Profile Websites. </w:t>
            </w:r>
          </w:p>
        </w:tc>
      </w:tr>
    </w:tbl>
    <w:p w:rsidR="00352DBC" w:rsidRPr="00352DBC" w:rsidRDefault="00352DBC" w:rsidP="00352DBC">
      <w:pPr>
        <w:pStyle w:val="NormalWeb"/>
        <w:rPr>
          <w:rFonts w:asciiTheme="minorHAnsi" w:hAnsiTheme="minorHAnsi"/>
        </w:rPr>
      </w:pPr>
      <w:r w:rsidRPr="00352DBC">
        <w:rPr>
          <w:rFonts w:asciiTheme="minorHAnsi" w:hAnsiTheme="minorHAnsi"/>
        </w:rPr>
        <w:t> </w:t>
      </w:r>
    </w:p>
    <w:p w:rsidR="00352DBC" w:rsidRPr="00352DBC" w:rsidRDefault="00352DBC" w:rsidP="00352DBC">
      <w:pPr>
        <w:pStyle w:val="Heading2"/>
        <w:rPr>
          <w:rFonts w:asciiTheme="minorHAnsi" w:hAnsiTheme="minorHAnsi"/>
        </w:rPr>
      </w:pPr>
      <w:r w:rsidRPr="00352DBC">
        <w:rPr>
          <w:rFonts w:asciiTheme="minorHAnsi" w:hAnsiTheme="minorHAnsi"/>
        </w:rPr>
        <w:t>RESEARCH</w:t>
      </w:r>
    </w:p>
    <w:tbl>
      <w:tblPr>
        <w:tblW w:w="4800" w:type="pct"/>
        <w:tblCellSpacing w:w="37" w:type="dxa"/>
        <w:tblCellMar>
          <w:top w:w="120" w:type="dxa"/>
          <w:left w:w="120" w:type="dxa"/>
          <w:bottom w:w="120" w:type="dxa"/>
          <w:right w:w="120" w:type="dxa"/>
        </w:tblCellMar>
        <w:tblLook w:val="04A0" w:firstRow="1" w:lastRow="0" w:firstColumn="1" w:lastColumn="0" w:noHBand="0" w:noVBand="1"/>
      </w:tblPr>
      <w:tblGrid>
        <w:gridCol w:w="3441"/>
        <w:gridCol w:w="5545"/>
      </w:tblGrid>
      <w:tr w:rsidR="00352DBC" w:rsidRPr="00352DBC" w:rsidTr="000A1C1F">
        <w:trPr>
          <w:tblCellSpacing w:w="37" w:type="dxa"/>
        </w:trPr>
        <w:tc>
          <w:tcPr>
            <w:tcW w:w="1853" w:type="pct"/>
            <w:shd w:val="clear" w:color="auto" w:fill="EEEEEE"/>
            <w:vAlign w:val="center"/>
            <w:hideMark/>
          </w:tcPr>
          <w:p w:rsidR="00352DBC" w:rsidRPr="00352DBC" w:rsidRDefault="00352DBC">
            <w:hyperlink r:id="rId14" w:history="1">
              <w:r w:rsidRPr="00352DBC">
                <w:rPr>
                  <w:rStyle w:val="Hyperlink"/>
                </w:rPr>
                <w:t>Center for High Performance Computing (CHP</w:t>
              </w:r>
              <w:r w:rsidRPr="00352DBC">
                <w:rPr>
                  <w:rStyle w:val="Hyperlink"/>
                </w:rPr>
                <w:t>C</w:t>
              </w:r>
              <w:r w:rsidRPr="00352DBC">
                <w:rPr>
                  <w:rStyle w:val="Hyperlink"/>
                </w:rPr>
                <w:t>)</w:t>
              </w:r>
            </w:hyperlink>
          </w:p>
        </w:tc>
        <w:tc>
          <w:tcPr>
            <w:tcW w:w="3024" w:type="pct"/>
            <w:shd w:val="clear" w:color="auto" w:fill="EEEEEE"/>
            <w:vAlign w:val="center"/>
            <w:hideMark/>
          </w:tcPr>
          <w:p w:rsidR="00352DBC" w:rsidRPr="00352DBC" w:rsidRDefault="00352DBC" w:rsidP="000A1C1F">
            <w:pPr>
              <w:pStyle w:val="NormalWeb"/>
              <w:rPr>
                <w:rFonts w:asciiTheme="minorHAnsi" w:hAnsiTheme="minorHAnsi"/>
              </w:rPr>
            </w:pPr>
            <w:r w:rsidRPr="00352DBC">
              <w:rPr>
                <w:rFonts w:asciiTheme="minorHAnsi" w:hAnsiTheme="minorHAnsi"/>
              </w:rPr>
              <w:t xml:space="preserve">Provides large-scale computer and networking resources (hardware, software, expertise) to facilitate advances in academic disciplines that </w:t>
            </w:r>
            <w:proofErr w:type="gramStart"/>
            <w:r w:rsidRPr="00352DBC">
              <w:rPr>
                <w:rFonts w:asciiTheme="minorHAnsi" w:hAnsiTheme="minorHAnsi"/>
              </w:rPr>
              <w:t>require</w:t>
            </w:r>
            <w:proofErr w:type="gramEnd"/>
            <w:r w:rsidRPr="00352DBC">
              <w:rPr>
                <w:rFonts w:asciiTheme="minorHAnsi" w:hAnsiTheme="minorHAnsi"/>
              </w:rPr>
              <w:t xml:space="preserve"> computing and network</w:t>
            </w:r>
            <w:r w:rsidR="000A1C1F">
              <w:rPr>
                <w:rFonts w:asciiTheme="minorHAnsi" w:hAnsiTheme="minorHAnsi"/>
              </w:rPr>
              <w:t xml:space="preserve"> capabilities beyond those </w:t>
            </w:r>
            <w:r w:rsidRPr="00352DBC">
              <w:rPr>
                <w:rFonts w:asciiTheme="minorHAnsi" w:hAnsiTheme="minorHAnsi"/>
              </w:rPr>
              <w:t>in individual colleges, departments, or groups.</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5" w:history="1">
              <w:proofErr w:type="spellStart"/>
              <w:r w:rsidRPr="00352DBC">
                <w:rPr>
                  <w:rStyle w:val="Hyperlink"/>
                </w:rPr>
                <w:t>ePropo</w:t>
              </w:r>
              <w:r w:rsidRPr="00352DBC">
                <w:rPr>
                  <w:rStyle w:val="Hyperlink"/>
                </w:rPr>
                <w:t>s</w:t>
              </w:r>
              <w:r w:rsidRPr="00352DBC">
                <w:rPr>
                  <w:rStyle w:val="Hyperlink"/>
                </w:rPr>
                <w:t>al</w:t>
              </w:r>
              <w:proofErr w:type="spellEnd"/>
            </w:hyperlink>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 xml:space="preserve">Research project proposal submission site that allows you to submit information to the Office of Sponsored Projects. Log into </w:t>
            </w:r>
            <w:hyperlink r:id="rId16" w:history="1">
              <w:r w:rsidRPr="00352DBC">
                <w:rPr>
                  <w:rStyle w:val="Hyperlink"/>
                  <w:rFonts w:asciiTheme="minorHAnsi" w:hAnsiTheme="minorHAnsi"/>
                </w:rPr>
                <w:t>CIS</w:t>
              </w:r>
            </w:hyperlink>
            <w:r w:rsidRPr="00352DBC">
              <w:rPr>
                <w:rFonts w:asciiTheme="minorHAnsi" w:hAnsiTheme="minorHAnsi"/>
              </w:rPr>
              <w:t xml:space="preserve"> and look for the Research Administration box.</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17" w:history="1">
              <w:r w:rsidRPr="00352DBC">
                <w:rPr>
                  <w:rStyle w:val="Hyperlink"/>
                </w:rPr>
                <w:t>Research Po</w:t>
              </w:r>
              <w:r w:rsidRPr="00352DBC">
                <w:rPr>
                  <w:rStyle w:val="Hyperlink"/>
                </w:rPr>
                <w:t>r</w:t>
              </w:r>
              <w:r w:rsidRPr="00352DBC">
                <w:rPr>
                  <w:rStyle w:val="Hyperlink"/>
                </w:rPr>
                <w:t>tal</w:t>
              </w:r>
            </w:hyperlink>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 xml:space="preserve">Log into </w:t>
            </w:r>
            <w:hyperlink r:id="rId18" w:history="1">
              <w:r w:rsidRPr="00352DBC">
                <w:rPr>
                  <w:rStyle w:val="Hyperlink"/>
                  <w:rFonts w:asciiTheme="minorHAnsi" w:hAnsiTheme="minorHAnsi"/>
                </w:rPr>
                <w:t>CIS</w:t>
              </w:r>
            </w:hyperlink>
            <w:r w:rsidRPr="00352DBC">
              <w:rPr>
                <w:rFonts w:asciiTheme="minorHAnsi" w:hAnsiTheme="minorHAnsi"/>
              </w:rPr>
              <w:t xml:space="preserve"> and look for the Research Administration box.</w:t>
            </w:r>
          </w:p>
        </w:tc>
      </w:tr>
      <w:tr w:rsidR="00352DBC" w:rsidRPr="00352DBC" w:rsidTr="00352DBC">
        <w:trPr>
          <w:tblCellSpacing w:w="37" w:type="dxa"/>
        </w:trPr>
        <w:tc>
          <w:tcPr>
            <w:tcW w:w="0" w:type="auto"/>
            <w:shd w:val="clear" w:color="auto" w:fill="EEEEEE"/>
            <w:vAlign w:val="center"/>
            <w:hideMark/>
          </w:tcPr>
          <w:p w:rsidR="00352DBC" w:rsidRPr="00352DBC" w:rsidRDefault="000A1C1F" w:rsidP="000A1C1F">
            <w:hyperlink r:id="rId19" w:history="1">
              <w:r w:rsidRPr="000A1C1F">
                <w:rPr>
                  <w:rStyle w:val="Hyperlink"/>
                </w:rPr>
                <w:t>Technology &amp; Venture Commercialization</w:t>
              </w:r>
            </w:hyperlink>
            <w:hyperlink r:id="rId20" w:history="1"/>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Facilitates the commercialization of scientific and technical research findings through evaluation, management, protection, and licensing of the U's intellectual property.</w:t>
            </w:r>
          </w:p>
        </w:tc>
      </w:tr>
    </w:tbl>
    <w:p w:rsidR="00352DBC" w:rsidRPr="00352DBC" w:rsidRDefault="00352DBC" w:rsidP="00352DBC">
      <w:pPr>
        <w:pStyle w:val="NormalWeb"/>
        <w:rPr>
          <w:rFonts w:asciiTheme="minorHAnsi" w:hAnsiTheme="minorHAnsi"/>
        </w:rPr>
      </w:pPr>
      <w:r w:rsidRPr="00352DBC">
        <w:rPr>
          <w:rFonts w:asciiTheme="minorHAnsi" w:hAnsiTheme="minorHAnsi"/>
        </w:rPr>
        <w:t> </w:t>
      </w:r>
    </w:p>
    <w:p w:rsidR="00352DBC" w:rsidRPr="00352DBC" w:rsidRDefault="00352DBC" w:rsidP="00352DBC">
      <w:pPr>
        <w:pStyle w:val="Heading2"/>
        <w:rPr>
          <w:rFonts w:asciiTheme="minorHAnsi" w:hAnsiTheme="minorHAnsi"/>
        </w:rPr>
      </w:pPr>
      <w:r w:rsidRPr="00352DBC">
        <w:rPr>
          <w:rFonts w:asciiTheme="minorHAnsi" w:hAnsiTheme="minorHAnsi"/>
        </w:rPr>
        <w:t>TEACHING</w:t>
      </w:r>
    </w:p>
    <w:tbl>
      <w:tblPr>
        <w:tblW w:w="4800" w:type="pct"/>
        <w:tblCellSpacing w:w="37" w:type="dxa"/>
        <w:tblCellMar>
          <w:top w:w="120" w:type="dxa"/>
          <w:left w:w="120" w:type="dxa"/>
          <w:bottom w:w="120" w:type="dxa"/>
          <w:right w:w="120" w:type="dxa"/>
        </w:tblCellMar>
        <w:tblLook w:val="04A0" w:firstRow="1" w:lastRow="0" w:firstColumn="1" w:lastColumn="0" w:noHBand="0" w:noVBand="1"/>
      </w:tblPr>
      <w:tblGrid>
        <w:gridCol w:w="3441"/>
        <w:gridCol w:w="5545"/>
      </w:tblGrid>
      <w:tr w:rsidR="00352DBC" w:rsidRPr="00352DBC" w:rsidTr="00352DBC">
        <w:trPr>
          <w:tblCellSpacing w:w="37" w:type="dxa"/>
        </w:trPr>
        <w:tc>
          <w:tcPr>
            <w:tcW w:w="0" w:type="auto"/>
            <w:shd w:val="clear" w:color="auto" w:fill="EEEEEE"/>
            <w:vAlign w:val="center"/>
            <w:hideMark/>
          </w:tcPr>
          <w:p w:rsidR="00352DBC" w:rsidRPr="00352DBC" w:rsidRDefault="00352DBC">
            <w:hyperlink r:id="rId21" w:history="1">
              <w:r w:rsidRPr="00352DBC">
                <w:rPr>
                  <w:rStyle w:val="Hyperlink"/>
                </w:rPr>
                <w:t>Gradu</w:t>
              </w:r>
              <w:r w:rsidRPr="00352DBC">
                <w:rPr>
                  <w:rStyle w:val="Hyperlink"/>
                </w:rPr>
                <w:t>a</w:t>
              </w:r>
              <w:r w:rsidRPr="00352DBC">
                <w:rPr>
                  <w:rStyle w:val="Hyperlink"/>
                </w:rPr>
                <w:t>te Student Tracking System</w:t>
              </w:r>
            </w:hyperlink>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 xml:space="preserve">Log in with your </w:t>
            </w:r>
            <w:proofErr w:type="spellStart"/>
            <w:r w:rsidRPr="00352DBC">
              <w:rPr>
                <w:rFonts w:asciiTheme="minorHAnsi" w:hAnsiTheme="minorHAnsi"/>
              </w:rPr>
              <w:t>uNID</w:t>
            </w:r>
            <w:proofErr w:type="spellEnd"/>
            <w:r w:rsidRPr="00352DBC">
              <w:rPr>
                <w:rFonts w:asciiTheme="minorHAnsi" w:hAnsiTheme="minorHAnsi"/>
              </w:rPr>
              <w:t xml:space="preserve"> and CIS password to update information about graduate students for whom you serve as committee chair or member.</w:t>
            </w:r>
          </w:p>
        </w:tc>
      </w:tr>
      <w:tr w:rsidR="00352DBC" w:rsidRPr="00352DBC" w:rsidTr="00352DBC">
        <w:trPr>
          <w:tblCellSpacing w:w="37" w:type="dxa"/>
        </w:trPr>
        <w:tc>
          <w:tcPr>
            <w:tcW w:w="1900" w:type="pct"/>
            <w:shd w:val="clear" w:color="auto" w:fill="EEEEEE"/>
            <w:vAlign w:val="center"/>
            <w:hideMark/>
          </w:tcPr>
          <w:p w:rsidR="00352DBC" w:rsidRPr="00352DBC" w:rsidRDefault="00352DBC">
            <w:hyperlink r:id="rId22" w:history="1">
              <w:r w:rsidRPr="00352DBC">
                <w:rPr>
                  <w:rStyle w:val="Hyperlink"/>
                </w:rPr>
                <w:t>Center for Te</w:t>
              </w:r>
              <w:r w:rsidRPr="00352DBC">
                <w:rPr>
                  <w:rStyle w:val="Hyperlink"/>
                </w:rPr>
                <w:t>a</w:t>
              </w:r>
              <w:r w:rsidRPr="00352DBC">
                <w:rPr>
                  <w:rStyle w:val="Hyperlink"/>
                </w:rPr>
                <w:t>ching and Learning Excellence (CTLE)</w:t>
              </w:r>
            </w:hyperlink>
          </w:p>
        </w:tc>
        <w:tc>
          <w:tcPr>
            <w:tcW w:w="3100" w:type="pct"/>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 xml:space="preserve">Offers classes and workshops on improving teaching with technology, including online teaching, clicker technology, and </w:t>
            </w:r>
            <w:proofErr w:type="spellStart"/>
            <w:r w:rsidRPr="00352DBC">
              <w:rPr>
                <w:rFonts w:asciiTheme="minorHAnsi" w:hAnsiTheme="minorHAnsi"/>
              </w:rPr>
              <w:t>cyberpedagogy</w:t>
            </w:r>
            <w:proofErr w:type="spellEnd"/>
            <w:r w:rsidRPr="00352DBC">
              <w:rPr>
                <w:rFonts w:asciiTheme="minorHAnsi" w:hAnsiTheme="minorHAnsi"/>
              </w:rPr>
              <w:t>.</w:t>
            </w:r>
          </w:p>
        </w:tc>
      </w:tr>
      <w:tr w:rsidR="00352DBC" w:rsidRPr="00352DBC" w:rsidTr="00352DBC">
        <w:trPr>
          <w:tblCellSpacing w:w="37" w:type="dxa"/>
        </w:trPr>
        <w:tc>
          <w:tcPr>
            <w:tcW w:w="0" w:type="auto"/>
            <w:shd w:val="clear" w:color="auto" w:fill="EEEEEE"/>
            <w:vAlign w:val="center"/>
            <w:hideMark/>
          </w:tcPr>
          <w:p w:rsidR="00352DBC" w:rsidRPr="00352DBC" w:rsidRDefault="00352DBC">
            <w:hyperlink r:id="rId23" w:history="1">
              <w:r w:rsidRPr="00352DBC">
                <w:rPr>
                  <w:rStyle w:val="Hyperlink"/>
                </w:rPr>
                <w:t>Digital Scholarshi</w:t>
              </w:r>
              <w:r w:rsidRPr="00352DBC">
                <w:rPr>
                  <w:rStyle w:val="Hyperlink"/>
                </w:rPr>
                <w:t>p</w:t>
              </w:r>
              <w:r w:rsidRPr="00352DBC">
                <w:rPr>
                  <w:rStyle w:val="Hyperlink"/>
                </w:rPr>
                <w:t xml:space="preserve"> Lab</w:t>
              </w:r>
            </w:hyperlink>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Do-it-yourself, hands-on creation of digital scholarship and learning objects to support research, teaching, and learning. Located in the Marriott Library.</w:t>
            </w:r>
          </w:p>
        </w:tc>
      </w:tr>
      <w:tr w:rsidR="00352DBC" w:rsidRPr="00352DBC" w:rsidTr="00352DBC">
        <w:trPr>
          <w:tblCellSpacing w:w="37" w:type="dxa"/>
        </w:trPr>
        <w:tc>
          <w:tcPr>
            <w:tcW w:w="0" w:type="auto"/>
            <w:shd w:val="clear" w:color="auto" w:fill="EEEEEE"/>
            <w:vAlign w:val="center"/>
            <w:hideMark/>
          </w:tcPr>
          <w:p w:rsidR="00352DBC" w:rsidRPr="00352DBC" w:rsidRDefault="000A1C1F" w:rsidP="000A1C1F">
            <w:hyperlink r:id="rId24" w:history="1">
              <w:r w:rsidRPr="000A1C1F">
                <w:rPr>
                  <w:rStyle w:val="Hyperlink"/>
                </w:rPr>
                <w:t>Teaching and Learning Technologies</w:t>
              </w:r>
            </w:hyperlink>
            <w:hyperlink r:id="rId25" w:history="1"/>
          </w:p>
        </w:tc>
        <w:tc>
          <w:tcPr>
            <w:tcW w:w="0" w:type="auto"/>
            <w:shd w:val="clear" w:color="auto" w:fill="EEEEEE"/>
            <w:vAlign w:val="center"/>
            <w:hideMark/>
          </w:tcPr>
          <w:p w:rsidR="00352DBC" w:rsidRPr="00352DBC" w:rsidRDefault="00352DBC">
            <w:pPr>
              <w:pStyle w:val="NormalWeb"/>
              <w:rPr>
                <w:rFonts w:asciiTheme="minorHAnsi" w:hAnsiTheme="minorHAnsi"/>
              </w:rPr>
            </w:pPr>
            <w:r w:rsidRPr="00352DBC">
              <w:rPr>
                <w:rFonts w:asciiTheme="minorHAnsi" w:hAnsiTheme="minorHAnsi"/>
              </w:rPr>
              <w:t xml:space="preserve">Supports faculty, instructors, and students with technology-enabled course design, development, and delivery services. Located in the Marriott Library. </w:t>
            </w:r>
          </w:p>
        </w:tc>
      </w:tr>
    </w:tbl>
    <w:p w:rsidR="000A1C1F" w:rsidRDefault="00352DBC" w:rsidP="000A1C1F">
      <w:pPr>
        <w:pStyle w:val="NormalWeb"/>
        <w:pBdr>
          <w:bottom w:val="single" w:sz="6" w:space="1" w:color="auto"/>
        </w:pBdr>
        <w:rPr>
          <w:rFonts w:asciiTheme="minorHAnsi" w:hAnsiTheme="minorHAnsi"/>
        </w:rPr>
      </w:pPr>
      <w:r w:rsidRPr="00352DBC">
        <w:rPr>
          <w:rFonts w:asciiTheme="minorHAnsi" w:hAnsiTheme="minorHAnsi"/>
        </w:rPr>
        <w:t> </w:t>
      </w:r>
    </w:p>
    <w:p w:rsidR="00352DBC" w:rsidRPr="00352DBC" w:rsidRDefault="00352DBC" w:rsidP="00352DBC">
      <w:pPr>
        <w:pStyle w:val="Heading1"/>
        <w:rPr>
          <w:rFonts w:asciiTheme="minorHAnsi" w:hAnsiTheme="minorHAnsi"/>
        </w:rPr>
      </w:pPr>
      <w:r w:rsidRPr="00352DBC">
        <w:rPr>
          <w:rFonts w:asciiTheme="minorHAnsi" w:hAnsiTheme="minorHAnsi"/>
        </w:rPr>
        <w:t>Profile Website System</w:t>
      </w:r>
    </w:p>
    <w:p w:rsidR="00352DBC" w:rsidRPr="00352DBC" w:rsidRDefault="00352DBC" w:rsidP="00352DBC">
      <w:pPr>
        <w:pStyle w:val="NormalWeb"/>
        <w:rPr>
          <w:rFonts w:asciiTheme="minorHAnsi" w:hAnsiTheme="minorHAnsi"/>
        </w:rPr>
      </w:pPr>
      <w:r w:rsidRPr="00352DBC">
        <w:rPr>
          <w:rFonts w:asciiTheme="minorHAnsi" w:hAnsiTheme="minorHAnsi"/>
        </w:rPr>
        <w:t xml:space="preserve">The University </w:t>
      </w:r>
      <w:proofErr w:type="gramStart"/>
      <w:r w:rsidRPr="00352DBC">
        <w:rPr>
          <w:rFonts w:asciiTheme="minorHAnsi" w:hAnsiTheme="minorHAnsi"/>
        </w:rPr>
        <w:t>of</w:t>
      </w:r>
      <w:proofErr w:type="gramEnd"/>
      <w:r w:rsidRPr="00352DBC">
        <w:rPr>
          <w:rFonts w:asciiTheme="minorHAnsi" w:hAnsiTheme="minorHAnsi"/>
        </w:rPr>
        <w:t xml:space="preserve"> Utah Profile Website system provides faculty, instructors, and other employees with standardized, U of U-themed Profile Websites, including an easy-to-use application for updating your information. Whenever possible, your Profile Website is pre-filled with information that is already publicly available, as well as information that you've previously selected to display to the public. For example, your courses and university appointment(s) are pre-filled and automatically updated as they change. Selected information from HUMIS, MBM, and the Faculty Activity Report (FAR) is also pre-filled.</w:t>
      </w:r>
    </w:p>
    <w:p w:rsidR="00352DBC" w:rsidRPr="00352DBC" w:rsidRDefault="00352DBC" w:rsidP="00352DBC">
      <w:pPr>
        <w:pStyle w:val="NormalWeb"/>
        <w:rPr>
          <w:rFonts w:asciiTheme="minorHAnsi" w:hAnsiTheme="minorHAnsi"/>
        </w:rPr>
      </w:pPr>
      <w:r w:rsidRPr="00352DBC">
        <w:rPr>
          <w:rFonts w:asciiTheme="minorHAnsi" w:hAnsiTheme="minorHAnsi"/>
          <w:b/>
          <w:bCs/>
        </w:rPr>
        <w:br/>
      </w:r>
      <w:r w:rsidRPr="00352DBC">
        <w:rPr>
          <w:rStyle w:val="Strong"/>
          <w:rFonts w:asciiTheme="minorHAnsi" w:hAnsiTheme="minorHAnsi"/>
        </w:rPr>
        <w:t>To view your Profile Website</w:t>
      </w:r>
    </w:p>
    <w:p w:rsidR="00352DBC" w:rsidRPr="00352DBC" w:rsidRDefault="00352DBC" w:rsidP="00352DBC">
      <w:pPr>
        <w:numPr>
          <w:ilvl w:val="0"/>
          <w:numId w:val="1"/>
        </w:numPr>
        <w:spacing w:before="100" w:beforeAutospacing="1" w:after="100" w:afterAutospacing="1"/>
      </w:pPr>
      <w:r w:rsidRPr="00352DBC">
        <w:t xml:space="preserve">Click your linked name in the </w:t>
      </w:r>
      <w:hyperlink r:id="rId26" w:tgtFrame="_blank" w:history="1">
        <w:r w:rsidRPr="00352DBC">
          <w:rPr>
            <w:rStyle w:val="Hyperlink"/>
          </w:rPr>
          <w:t>Class Schedule</w:t>
        </w:r>
      </w:hyperlink>
      <w:r w:rsidRPr="00352DBC">
        <w:t xml:space="preserve"> </w:t>
      </w:r>
      <w:r w:rsidRPr="00352DBC">
        <w:rPr>
          <w:rStyle w:val="Emphasis"/>
        </w:rPr>
        <w:t>-or-</w:t>
      </w:r>
    </w:p>
    <w:p w:rsidR="00352DBC" w:rsidRPr="00352DBC" w:rsidRDefault="00352DBC" w:rsidP="00352DBC">
      <w:pPr>
        <w:numPr>
          <w:ilvl w:val="0"/>
          <w:numId w:val="1"/>
        </w:numPr>
        <w:spacing w:before="100" w:beforeAutospacing="1" w:after="100" w:afterAutospacing="1"/>
      </w:pPr>
      <w:r w:rsidRPr="00352DBC">
        <w:t xml:space="preserve">Go to </w:t>
      </w:r>
      <w:hyperlink r:id="rId27" w:tgtFrame="_blank" w:history="1">
        <w:r w:rsidRPr="00352DBC">
          <w:rPr>
            <w:rStyle w:val="Hyperlink"/>
          </w:rPr>
          <w:t>Find a Researcher</w:t>
        </w:r>
      </w:hyperlink>
      <w:r w:rsidRPr="00352DBC">
        <w:t xml:space="preserve"> and search for yourself by name or keyword </w:t>
      </w:r>
      <w:r w:rsidRPr="00352DBC">
        <w:rPr>
          <w:rStyle w:val="Emphasis"/>
        </w:rPr>
        <w:t>-or-</w:t>
      </w:r>
    </w:p>
    <w:p w:rsidR="00352DBC" w:rsidRPr="00352DBC" w:rsidRDefault="00352DBC" w:rsidP="00352DBC">
      <w:pPr>
        <w:numPr>
          <w:ilvl w:val="0"/>
          <w:numId w:val="1"/>
        </w:numPr>
        <w:spacing w:before="100" w:beforeAutospacing="1" w:after="100" w:afterAutospacing="1"/>
      </w:pPr>
      <w:r w:rsidRPr="00352DBC">
        <w:t xml:space="preserve">Go to http://faculty.utah.edu/uNID (where </w:t>
      </w:r>
      <w:proofErr w:type="spellStart"/>
      <w:r w:rsidRPr="00352DBC">
        <w:t>uNID</w:t>
      </w:r>
      <w:proofErr w:type="spellEnd"/>
      <w:r w:rsidRPr="00352DBC">
        <w:t xml:space="preserve"> is your </w:t>
      </w:r>
      <w:proofErr w:type="spellStart"/>
      <w:r w:rsidRPr="00352DBC">
        <w:t>uNID</w:t>
      </w:r>
      <w:proofErr w:type="spellEnd"/>
      <w:r w:rsidRPr="00352DBC">
        <w:t>, e.g. u0123456)</w:t>
      </w:r>
    </w:p>
    <w:p w:rsidR="00352DBC" w:rsidRPr="00352DBC" w:rsidRDefault="00352DBC" w:rsidP="00352DBC">
      <w:pPr>
        <w:pStyle w:val="NormalWeb"/>
        <w:rPr>
          <w:rFonts w:asciiTheme="minorHAnsi" w:hAnsiTheme="minorHAnsi"/>
        </w:rPr>
      </w:pPr>
      <w:r w:rsidRPr="00352DBC">
        <w:rPr>
          <w:rFonts w:asciiTheme="minorHAnsi" w:hAnsiTheme="minorHAnsi"/>
          <w:b/>
          <w:bCs/>
        </w:rPr>
        <w:br/>
      </w:r>
      <w:r w:rsidRPr="00352DBC">
        <w:rPr>
          <w:rStyle w:val="Strong"/>
          <w:rFonts w:asciiTheme="minorHAnsi" w:hAnsiTheme="minorHAnsi"/>
        </w:rPr>
        <w:t>To update your Profile Website</w:t>
      </w:r>
    </w:p>
    <w:p w:rsidR="00352DBC" w:rsidRPr="00352DBC" w:rsidRDefault="00352DBC" w:rsidP="00352DBC">
      <w:pPr>
        <w:numPr>
          <w:ilvl w:val="0"/>
          <w:numId w:val="2"/>
        </w:numPr>
        <w:spacing w:before="100" w:beforeAutospacing="1" w:after="100" w:afterAutospacing="1"/>
      </w:pPr>
      <w:r w:rsidRPr="00352DBC">
        <w:t xml:space="preserve">Go to </w:t>
      </w:r>
      <w:hyperlink r:id="rId28" w:tgtFrame="_blank" w:history="1">
        <w:r w:rsidRPr="00352DBC">
          <w:rPr>
            <w:rStyle w:val="Hyperlink"/>
          </w:rPr>
          <w:t>http://faculty.utah.edu/</w:t>
        </w:r>
      </w:hyperlink>
      <w:r w:rsidRPr="00352DBC">
        <w:t xml:space="preserve"> and log in using your </w:t>
      </w:r>
      <w:proofErr w:type="spellStart"/>
      <w:r w:rsidRPr="00352DBC">
        <w:t>uNID</w:t>
      </w:r>
      <w:proofErr w:type="spellEnd"/>
      <w:r w:rsidRPr="00352DBC">
        <w:t xml:space="preserve"> and CIS password.</w:t>
      </w:r>
    </w:p>
    <w:p w:rsidR="00352DBC" w:rsidRPr="00352DBC" w:rsidRDefault="00352DBC" w:rsidP="00352DBC">
      <w:pPr>
        <w:pStyle w:val="NormalWeb"/>
        <w:rPr>
          <w:rFonts w:asciiTheme="minorHAnsi" w:hAnsiTheme="minorHAnsi"/>
        </w:rPr>
      </w:pPr>
      <w:r w:rsidRPr="00352DBC">
        <w:rPr>
          <w:rFonts w:asciiTheme="minorHAnsi" w:hAnsiTheme="minorHAnsi"/>
        </w:rPr>
        <w:br/>
      </w:r>
      <w:r w:rsidRPr="00352DBC">
        <w:rPr>
          <w:rStyle w:val="Strong"/>
          <w:rFonts w:asciiTheme="minorHAnsi" w:hAnsiTheme="minorHAnsi"/>
        </w:rPr>
        <w:t>Profile Website Application Features</w:t>
      </w:r>
    </w:p>
    <w:p w:rsidR="00352DBC" w:rsidRPr="00352DBC" w:rsidRDefault="00352DBC" w:rsidP="00352DBC">
      <w:pPr>
        <w:numPr>
          <w:ilvl w:val="0"/>
          <w:numId w:val="3"/>
        </w:numPr>
        <w:spacing w:before="100" w:beforeAutospacing="1" w:after="100" w:afterAutospacing="1"/>
      </w:pPr>
      <w:r w:rsidRPr="00352DBC">
        <w:t xml:space="preserve">Clickable picture icons in sections to edit information </w:t>
      </w:r>
    </w:p>
    <w:p w:rsidR="00352DBC" w:rsidRPr="00352DBC" w:rsidRDefault="00352DBC" w:rsidP="00352DBC">
      <w:pPr>
        <w:numPr>
          <w:ilvl w:val="1"/>
          <w:numId w:val="3"/>
        </w:numPr>
        <w:spacing w:before="100" w:beforeAutospacing="1" w:after="100" w:afterAutospacing="1"/>
      </w:pPr>
      <w:r w:rsidRPr="00352DBC">
        <w:rPr>
          <w:noProof/>
        </w:rPr>
        <w:drawing>
          <wp:inline distT="0" distB="0" distL="0" distR="0">
            <wp:extent cx="152400" cy="152400"/>
            <wp:effectExtent l="0" t="0" r="0" b="0"/>
            <wp:docPr id="6" name="Picture 6" descr="visibl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bleIc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2DBC">
        <w:t>  mark entries visible or invisible (some of your FAR entries may need to be marked for display - use this icon to see all your entries)</w:t>
      </w:r>
    </w:p>
    <w:p w:rsidR="00352DBC" w:rsidRPr="00352DBC" w:rsidRDefault="00352DBC" w:rsidP="00352DBC">
      <w:pPr>
        <w:numPr>
          <w:ilvl w:val="1"/>
          <w:numId w:val="3"/>
        </w:numPr>
        <w:spacing w:before="100" w:beforeAutospacing="1" w:after="100" w:afterAutospacing="1"/>
      </w:pPr>
      <w:r w:rsidRPr="00352DBC">
        <w:rPr>
          <w:noProof/>
        </w:rPr>
        <w:drawing>
          <wp:inline distT="0" distB="0" distL="0" distR="0">
            <wp:extent cx="152400" cy="152400"/>
            <wp:effectExtent l="0" t="0" r="0" b="0"/>
            <wp:docPr id="5" name="Picture 5" descr="ad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c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2DBC">
        <w:t>  add new entries</w:t>
      </w:r>
    </w:p>
    <w:p w:rsidR="00352DBC" w:rsidRPr="00352DBC" w:rsidRDefault="00352DBC" w:rsidP="00352DBC">
      <w:pPr>
        <w:numPr>
          <w:ilvl w:val="1"/>
          <w:numId w:val="3"/>
        </w:numPr>
        <w:spacing w:before="100" w:beforeAutospacing="1" w:after="100" w:afterAutospacing="1"/>
      </w:pPr>
      <w:r w:rsidRPr="00352DBC">
        <w:rPr>
          <w:noProof/>
        </w:rPr>
        <w:drawing>
          <wp:inline distT="0" distB="0" distL="0" distR="0">
            <wp:extent cx="152400" cy="152400"/>
            <wp:effectExtent l="0" t="0" r="0" b="0"/>
            <wp:docPr id="4" name="Picture 4" descr="sor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Ico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2DBC">
        <w:t> order visible entries within a section</w:t>
      </w:r>
    </w:p>
    <w:p w:rsidR="00352DBC" w:rsidRPr="00352DBC" w:rsidRDefault="00352DBC" w:rsidP="00352DBC">
      <w:pPr>
        <w:numPr>
          <w:ilvl w:val="1"/>
          <w:numId w:val="3"/>
        </w:numPr>
        <w:spacing w:before="100" w:beforeAutospacing="1" w:after="100" w:afterAutospacing="1"/>
      </w:pPr>
      <w:r w:rsidRPr="00352DBC">
        <w:rPr>
          <w:noProof/>
        </w:rPr>
        <w:drawing>
          <wp:inline distT="0" distB="0" distL="0" distR="0">
            <wp:extent cx="142875" cy="142875"/>
            <wp:effectExtent l="0" t="0" r="9525" b="9525"/>
            <wp:docPr id="3" name="Picture 3" descr="pencilIcont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cilIcontrn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52DBC">
        <w:t>edit entries</w:t>
      </w:r>
    </w:p>
    <w:p w:rsidR="00352DBC" w:rsidRPr="00352DBC" w:rsidRDefault="00352DBC" w:rsidP="00352DBC">
      <w:pPr>
        <w:numPr>
          <w:ilvl w:val="1"/>
          <w:numId w:val="3"/>
        </w:numPr>
        <w:spacing w:before="100" w:beforeAutospacing="1" w:after="100" w:afterAutospacing="1"/>
      </w:pPr>
      <w:r w:rsidRPr="00352DBC">
        <w:rPr>
          <w:noProof/>
        </w:rPr>
        <w:drawing>
          <wp:inline distT="0" distB="0" distL="0" distR="0">
            <wp:extent cx="142875" cy="142875"/>
            <wp:effectExtent l="0" t="0" r="9525" b="9525"/>
            <wp:docPr id="2" name="Picture 2" descr="xIcont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Icontrn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52DBC">
        <w:t> delete entries</w:t>
      </w:r>
    </w:p>
    <w:p w:rsidR="00352DBC" w:rsidRPr="00352DBC" w:rsidRDefault="00352DBC" w:rsidP="00352DBC">
      <w:pPr>
        <w:numPr>
          <w:ilvl w:val="0"/>
          <w:numId w:val="3"/>
        </w:numPr>
        <w:spacing w:before="100" w:beforeAutospacing="1" w:after="100" w:afterAutospacing="1"/>
      </w:pPr>
      <w:r w:rsidRPr="00352DBC">
        <w:t>Option to upload a CV for public view. Doing so will not affect the CV associated with the FAR.</w:t>
      </w:r>
    </w:p>
    <w:p w:rsidR="00352DBC" w:rsidRPr="00352DBC" w:rsidRDefault="00352DBC" w:rsidP="00352DBC">
      <w:pPr>
        <w:numPr>
          <w:ilvl w:val="0"/>
          <w:numId w:val="3"/>
        </w:numPr>
        <w:spacing w:before="100" w:beforeAutospacing="1" w:after="100" w:afterAutospacing="1"/>
      </w:pPr>
      <w:r w:rsidRPr="00352DBC">
        <w:t>Features are available specifically for web display – photograph, educational information, research summary and statement, biography, affiliations, teaching philosophy, and more.</w:t>
      </w:r>
    </w:p>
    <w:p w:rsidR="00352DBC" w:rsidRPr="00352DBC" w:rsidRDefault="00352DBC" w:rsidP="00352DBC">
      <w:pPr>
        <w:numPr>
          <w:ilvl w:val="0"/>
          <w:numId w:val="3"/>
        </w:numPr>
        <w:spacing w:before="100" w:beforeAutospacing="1" w:after="100" w:afterAutospacing="1"/>
      </w:pPr>
      <w:r w:rsidRPr="00352DBC">
        <w:t>Re-namable “Other” sections on selected pages, allowing you to self-title and add information not included in an existing section.</w:t>
      </w:r>
    </w:p>
    <w:p w:rsidR="00352DBC" w:rsidRPr="00352DBC" w:rsidRDefault="00352DBC" w:rsidP="00352DBC">
      <w:pPr>
        <w:numPr>
          <w:ilvl w:val="0"/>
          <w:numId w:val="3"/>
        </w:numPr>
        <w:spacing w:before="100" w:beforeAutospacing="1" w:after="100" w:afterAutospacing="1"/>
      </w:pPr>
      <w:r w:rsidRPr="00352DBC">
        <w:t>FAR sections and data elements that are specific to the FAR don’t display on the website – e.g. Summary and Future Plans, Proposals for Sponsored Research, Disclosures.</w:t>
      </w:r>
    </w:p>
    <w:p w:rsidR="00352DBC" w:rsidRPr="00352DBC" w:rsidRDefault="00352DBC" w:rsidP="00352DBC">
      <w:pPr>
        <w:numPr>
          <w:ilvl w:val="0"/>
          <w:numId w:val="3"/>
        </w:numPr>
        <w:spacing w:before="100" w:beforeAutospacing="1" w:after="100" w:afterAutospacing="1"/>
      </w:pPr>
      <w:r w:rsidRPr="00352DBC">
        <w:t>Additions and edits made in the Profile Website application will be carried over to the FAR, and vice versa.</w:t>
      </w:r>
    </w:p>
    <w:p w:rsidR="00352DBC" w:rsidRPr="00352DBC" w:rsidRDefault="00352DBC" w:rsidP="00352DBC">
      <w:pPr>
        <w:numPr>
          <w:ilvl w:val="0"/>
          <w:numId w:val="3"/>
        </w:numPr>
        <w:spacing w:before="100" w:beforeAutospacing="1" w:after="100" w:afterAutospacing="1"/>
      </w:pPr>
      <w:r w:rsidRPr="00352DBC">
        <w:t>If a web page section has no entries selected to be visible, that section will not display on the website. If an entire page has no entries selected to be visible, that page will not display. No empty sections or pages.</w:t>
      </w:r>
    </w:p>
    <w:p w:rsidR="00352DBC" w:rsidRPr="00352DBC" w:rsidRDefault="00352DBC" w:rsidP="00352DBC">
      <w:pPr>
        <w:numPr>
          <w:ilvl w:val="0"/>
          <w:numId w:val="3"/>
        </w:numPr>
        <w:spacing w:before="100" w:beforeAutospacing="1" w:after="100" w:afterAutospacing="1"/>
      </w:pPr>
      <w:r w:rsidRPr="00352DBC">
        <w:t>Websites of faculty members and instructors holding joint appointments in different colleges feature sections and data types from all colleges in which they have appointments.</w:t>
      </w:r>
    </w:p>
    <w:p w:rsidR="00352DBC" w:rsidRPr="00352DBC" w:rsidRDefault="00352DBC" w:rsidP="00352DBC">
      <w:pPr>
        <w:pStyle w:val="NormalWeb"/>
        <w:rPr>
          <w:rFonts w:asciiTheme="minorHAnsi" w:hAnsiTheme="minorHAnsi"/>
        </w:rPr>
      </w:pPr>
      <w:r w:rsidRPr="00352DBC">
        <w:rPr>
          <w:rStyle w:val="Emphasis"/>
          <w:rFonts w:asciiTheme="minorHAnsi" w:hAnsiTheme="minorHAnsi"/>
          <w:b/>
          <w:bCs/>
        </w:rPr>
        <w:t>PROXY - A NEW FEATURE:</w:t>
      </w:r>
      <w:r w:rsidRPr="00352DBC">
        <w:rPr>
          <w:rFonts w:asciiTheme="minorHAnsi" w:hAnsiTheme="minorHAnsi"/>
        </w:rPr>
        <w:t xml:space="preserve"> You may designate others with </w:t>
      </w:r>
      <w:proofErr w:type="spellStart"/>
      <w:r w:rsidRPr="00352DBC">
        <w:rPr>
          <w:rFonts w:asciiTheme="minorHAnsi" w:hAnsiTheme="minorHAnsi"/>
        </w:rPr>
        <w:t>uNIDS</w:t>
      </w:r>
      <w:proofErr w:type="spellEnd"/>
      <w:r w:rsidRPr="00352DBC">
        <w:rPr>
          <w:rFonts w:asciiTheme="minorHAnsi" w:hAnsiTheme="minorHAnsi"/>
        </w:rPr>
        <w:t xml:space="preserve"> as proxies to update your Profile Website as well as access, update, and submit your FAR (if applicable). In addition, department and college FAR administrators may designate people to have proxy access for an entire department or college. </w:t>
      </w:r>
    </w:p>
    <w:p w:rsidR="00352DBC" w:rsidRPr="00352DBC" w:rsidRDefault="00352DBC" w:rsidP="00352DBC">
      <w:pPr>
        <w:pStyle w:val="NormalWeb"/>
        <w:rPr>
          <w:rFonts w:asciiTheme="minorHAnsi" w:hAnsiTheme="minorHAnsi"/>
        </w:rPr>
      </w:pPr>
      <w:r w:rsidRPr="00352DBC">
        <w:rPr>
          <w:rFonts w:asciiTheme="minorHAnsi" w:hAnsiTheme="minorHAnsi"/>
        </w:rPr>
        <w:t xml:space="preserve">To designate a proxy for yourself, log into the Profile Website system. At the bottom of the left-side column of tabs you'll see a section named "Proxy Settings." Click the </w:t>
      </w:r>
      <w:r w:rsidRPr="00352DBC">
        <w:rPr>
          <w:rFonts w:asciiTheme="minorHAnsi" w:hAnsiTheme="minorHAnsi"/>
          <w:noProof/>
        </w:rPr>
        <w:drawing>
          <wp:inline distT="0" distB="0" distL="0" distR="0">
            <wp:extent cx="152400" cy="152400"/>
            <wp:effectExtent l="0" t="0" r="0" b="0"/>
            <wp:docPr id="1" name="Picture 1" descr="ad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c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2DBC">
        <w:rPr>
          <w:rFonts w:asciiTheme="minorHAnsi" w:hAnsiTheme="minorHAnsi"/>
        </w:rPr>
        <w:t xml:space="preserve">(add new entry) icon to the right of "Proxy Settings." Begin typing the person's name or </w:t>
      </w:r>
      <w:proofErr w:type="spellStart"/>
      <w:proofErr w:type="gramStart"/>
      <w:r w:rsidRPr="00352DBC">
        <w:rPr>
          <w:rFonts w:asciiTheme="minorHAnsi" w:hAnsiTheme="minorHAnsi"/>
        </w:rPr>
        <w:t>uNID</w:t>
      </w:r>
      <w:proofErr w:type="spellEnd"/>
      <w:proofErr w:type="gramEnd"/>
      <w:r w:rsidRPr="00352DBC">
        <w:rPr>
          <w:rFonts w:asciiTheme="minorHAnsi" w:hAnsiTheme="minorHAnsi"/>
        </w:rPr>
        <w:t xml:space="preserve">, and select the correct name. The chosen proxy may then log into the system using his/her </w:t>
      </w:r>
      <w:proofErr w:type="spellStart"/>
      <w:r w:rsidRPr="00352DBC">
        <w:rPr>
          <w:rFonts w:asciiTheme="minorHAnsi" w:hAnsiTheme="minorHAnsi"/>
        </w:rPr>
        <w:t>uNID</w:t>
      </w:r>
      <w:proofErr w:type="spellEnd"/>
      <w:r w:rsidRPr="00352DBC">
        <w:rPr>
          <w:rFonts w:asciiTheme="minorHAnsi" w:hAnsiTheme="minorHAnsi"/>
        </w:rPr>
        <w:t xml:space="preserve"> and CIS password, and update your Profile Website (and FAR if applicable).</w:t>
      </w:r>
    </w:p>
    <w:p w:rsidR="00352DBC" w:rsidRDefault="00352DBC" w:rsidP="00352DBC">
      <w:pPr>
        <w:pStyle w:val="NormalWeb"/>
        <w:pBdr>
          <w:bottom w:val="single" w:sz="6" w:space="1" w:color="auto"/>
        </w:pBdr>
        <w:rPr>
          <w:rFonts w:asciiTheme="minorHAnsi" w:hAnsiTheme="minorHAnsi"/>
        </w:rPr>
      </w:pPr>
    </w:p>
    <w:p w:rsidR="00BF6A0D" w:rsidRPr="00352DBC" w:rsidRDefault="00352DBC" w:rsidP="00352DBC">
      <w:pPr>
        <w:pStyle w:val="Heading1"/>
        <w:rPr>
          <w:rFonts w:asciiTheme="minorHAnsi" w:hAnsiTheme="minorHAnsi"/>
        </w:rPr>
      </w:pPr>
      <w:r w:rsidRPr="00352DBC">
        <w:rPr>
          <w:rFonts w:asciiTheme="minorHAnsi" w:hAnsiTheme="minorHAnsi"/>
        </w:rPr>
        <w:t xml:space="preserve">Faculty Activity Report (FAR) </w:t>
      </w:r>
    </w:p>
    <w:p w:rsidR="00352DBC" w:rsidRPr="00352DBC" w:rsidRDefault="00352DBC" w:rsidP="00352DBC">
      <w:pPr>
        <w:pStyle w:val="NormalWeb"/>
        <w:rPr>
          <w:rFonts w:asciiTheme="minorHAnsi" w:hAnsiTheme="minorHAnsi"/>
        </w:rPr>
      </w:pPr>
      <w:r w:rsidRPr="00352DBC">
        <w:rPr>
          <w:rFonts w:asciiTheme="minorHAnsi" w:hAnsiTheme="minorHAnsi"/>
        </w:rPr>
        <w:t xml:space="preserve">The </w:t>
      </w:r>
      <w:hyperlink r:id="rId34" w:tgtFrame="_blank" w:history="1">
        <w:r w:rsidRPr="00352DBC">
          <w:rPr>
            <w:rStyle w:val="Hyperlink"/>
            <w:rFonts w:asciiTheme="minorHAnsi" w:hAnsiTheme="minorHAnsi"/>
          </w:rPr>
          <w:t>Faculty Activity Report (FAR)</w:t>
        </w:r>
      </w:hyperlink>
      <w:r w:rsidRPr="00352DBC">
        <w:rPr>
          <w:rFonts w:asciiTheme="minorHAnsi" w:hAnsiTheme="minorHAnsi"/>
        </w:rPr>
        <w:t xml:space="preserve"> is an online faculty activity data collection and reporting system for use by University of Utah faculty members, chairs, and deans' offices. Users may log in to the FAR 24/7/365 using their </w:t>
      </w:r>
      <w:proofErr w:type="spellStart"/>
      <w:r w:rsidRPr="00352DBC">
        <w:rPr>
          <w:rFonts w:asciiTheme="minorHAnsi" w:hAnsiTheme="minorHAnsi"/>
        </w:rPr>
        <w:t>uNIDs</w:t>
      </w:r>
      <w:proofErr w:type="spellEnd"/>
      <w:r w:rsidRPr="00352DBC">
        <w:rPr>
          <w:rFonts w:asciiTheme="minorHAnsi" w:hAnsiTheme="minorHAnsi"/>
        </w:rPr>
        <w:t xml:space="preserve"> and CIS passwords. The FAR, created by University Information Technology and owned by the University of Utah, is designed to capture faculty activity information for use in a variety of University of Utah applications. The activity categories featured in the FAR correspond roughly to the research, teaching, and service responsibilities. To ensure that the FAR reflects each college's practices and standards, college leaders choose particular sections and data types to include in their college's FAR. </w:t>
      </w:r>
    </w:p>
    <w:p w:rsidR="00352DBC" w:rsidRPr="00352DBC" w:rsidRDefault="00352DBC" w:rsidP="00352DBC">
      <w:pPr>
        <w:pStyle w:val="NormalWeb"/>
        <w:rPr>
          <w:rFonts w:asciiTheme="minorHAnsi" w:hAnsiTheme="minorHAnsi"/>
        </w:rPr>
      </w:pPr>
      <w:hyperlink r:id="rId35" w:tgtFrame="_blank" w:history="1">
        <w:r w:rsidRPr="00352DBC">
          <w:rPr>
            <w:rStyle w:val="Strong"/>
            <w:rFonts w:asciiTheme="minorHAnsi" w:hAnsiTheme="minorHAnsi"/>
            <w:color w:val="0000FF"/>
            <w:u w:val="single"/>
          </w:rPr>
          <w:t>https://faculty.utah.edu/activityreport</w:t>
        </w:r>
      </w:hyperlink>
      <w:r w:rsidRPr="00352DBC">
        <w:rPr>
          <w:rFonts w:asciiTheme="minorHAnsi" w:hAnsiTheme="minorHAnsi"/>
        </w:rPr>
        <w:t xml:space="preserve"> </w:t>
      </w:r>
    </w:p>
    <w:p w:rsidR="00352DBC" w:rsidRPr="00352DBC" w:rsidRDefault="00352DBC" w:rsidP="00352DBC">
      <w:pPr>
        <w:pStyle w:val="NormalWeb"/>
        <w:rPr>
          <w:rFonts w:asciiTheme="minorHAnsi" w:hAnsiTheme="minorHAnsi"/>
        </w:rPr>
      </w:pPr>
      <w:r w:rsidRPr="00352DBC">
        <w:rPr>
          <w:rStyle w:val="Emphasis"/>
          <w:rFonts w:asciiTheme="minorHAnsi" w:hAnsiTheme="minorHAnsi"/>
          <w:b/>
          <w:bCs/>
        </w:rPr>
        <w:t>PROXY - A NEW FEATURE:</w:t>
      </w:r>
      <w:r w:rsidRPr="00352DBC">
        <w:rPr>
          <w:rFonts w:asciiTheme="minorHAnsi" w:hAnsiTheme="minorHAnsi"/>
        </w:rPr>
        <w:t xml:space="preserve"> Your </w:t>
      </w:r>
      <w:proofErr w:type="gramStart"/>
      <w:r w:rsidRPr="00352DBC">
        <w:rPr>
          <w:rFonts w:asciiTheme="minorHAnsi" w:hAnsiTheme="minorHAnsi"/>
        </w:rPr>
        <w:t>college</w:t>
      </w:r>
      <w:proofErr w:type="gramEnd"/>
      <w:r w:rsidRPr="00352DBC">
        <w:rPr>
          <w:rFonts w:asciiTheme="minorHAnsi" w:hAnsiTheme="minorHAnsi"/>
        </w:rPr>
        <w:t xml:space="preserve"> may opt in to activate the new proxy feature. If your college opts in, you may designate others with </w:t>
      </w:r>
      <w:proofErr w:type="spellStart"/>
      <w:r w:rsidRPr="00352DBC">
        <w:rPr>
          <w:rFonts w:asciiTheme="minorHAnsi" w:hAnsiTheme="minorHAnsi"/>
        </w:rPr>
        <w:t>uNIDS</w:t>
      </w:r>
      <w:proofErr w:type="spellEnd"/>
      <w:r w:rsidRPr="00352DBC">
        <w:rPr>
          <w:rFonts w:asciiTheme="minorHAnsi" w:hAnsiTheme="minorHAnsi"/>
        </w:rPr>
        <w:t xml:space="preserve"> as proxies to access, update, and submit </w:t>
      </w:r>
      <w:proofErr w:type="gramStart"/>
      <w:r w:rsidRPr="00352DBC">
        <w:rPr>
          <w:rFonts w:asciiTheme="minorHAnsi" w:hAnsiTheme="minorHAnsi"/>
        </w:rPr>
        <w:t>your</w:t>
      </w:r>
      <w:proofErr w:type="gramEnd"/>
      <w:r w:rsidRPr="00352DBC">
        <w:rPr>
          <w:rFonts w:asciiTheme="minorHAnsi" w:hAnsiTheme="minorHAnsi"/>
        </w:rPr>
        <w:t xml:space="preserve"> FAR, as well as update your Profile Website. In addition, department and college FAR administrators may designate people to have proxy access for an entire department or college. </w:t>
      </w:r>
    </w:p>
    <w:p w:rsidR="00352DBC" w:rsidRPr="00352DBC" w:rsidRDefault="00352DBC" w:rsidP="00352DBC">
      <w:pPr>
        <w:pStyle w:val="NormalWeb"/>
        <w:rPr>
          <w:rFonts w:asciiTheme="minorHAnsi" w:hAnsiTheme="minorHAnsi"/>
        </w:rPr>
      </w:pPr>
      <w:r w:rsidRPr="00352DBC">
        <w:rPr>
          <w:rFonts w:asciiTheme="minorHAnsi" w:hAnsiTheme="minorHAnsi"/>
        </w:rPr>
        <w:t xml:space="preserve">To designate a proxy for yourself, log into the FAR. At the bottom of the left-side column of tabs click the "Edit Your Proxy Settings" tab. Begin typing the person's name or </w:t>
      </w:r>
      <w:proofErr w:type="spellStart"/>
      <w:proofErr w:type="gramStart"/>
      <w:r w:rsidRPr="00352DBC">
        <w:rPr>
          <w:rFonts w:asciiTheme="minorHAnsi" w:hAnsiTheme="minorHAnsi"/>
        </w:rPr>
        <w:t>uNID</w:t>
      </w:r>
      <w:proofErr w:type="spellEnd"/>
      <w:proofErr w:type="gramEnd"/>
      <w:r w:rsidRPr="00352DBC">
        <w:rPr>
          <w:rFonts w:asciiTheme="minorHAnsi" w:hAnsiTheme="minorHAnsi"/>
        </w:rPr>
        <w:t xml:space="preserve">, and select the correct name. The chosen proxy may then log into the system using his/her </w:t>
      </w:r>
      <w:proofErr w:type="spellStart"/>
      <w:proofErr w:type="gramStart"/>
      <w:r w:rsidRPr="00352DBC">
        <w:rPr>
          <w:rFonts w:asciiTheme="minorHAnsi" w:hAnsiTheme="minorHAnsi"/>
        </w:rPr>
        <w:t>uNID</w:t>
      </w:r>
      <w:proofErr w:type="spellEnd"/>
      <w:proofErr w:type="gramEnd"/>
      <w:r w:rsidRPr="00352DBC">
        <w:rPr>
          <w:rFonts w:asciiTheme="minorHAnsi" w:hAnsiTheme="minorHAnsi"/>
        </w:rPr>
        <w:t xml:space="preserve"> and CIS password, and update and submit your FAR.</w:t>
      </w:r>
    </w:p>
    <w:p w:rsidR="00352DBC" w:rsidRDefault="00352DBC" w:rsidP="00352DBC">
      <w:pPr>
        <w:pStyle w:val="NormalWeb"/>
        <w:pBdr>
          <w:bottom w:val="single" w:sz="6" w:space="1" w:color="auto"/>
        </w:pBdr>
        <w:rPr>
          <w:rFonts w:asciiTheme="minorHAnsi" w:hAnsiTheme="minorHAnsi"/>
        </w:rPr>
      </w:pPr>
      <w:r w:rsidRPr="00352DBC">
        <w:rPr>
          <w:rFonts w:asciiTheme="minorHAnsi" w:hAnsiTheme="minorHAnsi"/>
        </w:rPr>
        <w:t> </w:t>
      </w:r>
    </w:p>
    <w:p w:rsidR="00352DBC" w:rsidRPr="00352DBC" w:rsidRDefault="00352DBC" w:rsidP="00352DBC">
      <w:pPr>
        <w:pStyle w:val="Heading2"/>
        <w:rPr>
          <w:rFonts w:asciiTheme="minorHAnsi" w:hAnsiTheme="minorHAnsi"/>
        </w:rPr>
      </w:pPr>
      <w:r w:rsidRPr="00352DBC">
        <w:rPr>
          <w:rFonts w:asciiTheme="minorHAnsi" w:hAnsiTheme="minorHAnsi"/>
        </w:rPr>
        <w:t>FAR Section Overview</w:t>
      </w:r>
    </w:p>
    <w:tbl>
      <w:tblPr>
        <w:tblW w:w="4800" w:type="pct"/>
        <w:tblCellSpacing w:w="37" w:type="dxa"/>
        <w:tblCellMar>
          <w:top w:w="120" w:type="dxa"/>
          <w:left w:w="120" w:type="dxa"/>
          <w:bottom w:w="120" w:type="dxa"/>
          <w:right w:w="120" w:type="dxa"/>
        </w:tblCellMar>
        <w:tblLook w:val="04A0" w:firstRow="1" w:lastRow="0" w:firstColumn="1" w:lastColumn="0" w:noHBand="0" w:noVBand="1"/>
      </w:tblPr>
      <w:tblGrid>
        <w:gridCol w:w="8986"/>
      </w:tblGrid>
      <w:tr w:rsidR="00352DBC" w:rsidRPr="00352DBC" w:rsidTr="00352DBC">
        <w:trPr>
          <w:tblCellSpacing w:w="37" w:type="dxa"/>
        </w:trPr>
        <w:tc>
          <w:tcPr>
            <w:tcW w:w="2550" w:type="pct"/>
            <w:vAlign w:val="center"/>
            <w:hideMark/>
          </w:tcPr>
          <w:p w:rsidR="00352DBC" w:rsidRPr="00352DBC" w:rsidRDefault="00352DBC" w:rsidP="00352DBC">
            <w:pPr>
              <w:numPr>
                <w:ilvl w:val="0"/>
                <w:numId w:val="4"/>
              </w:numPr>
              <w:spacing w:before="100" w:beforeAutospacing="1" w:after="100" w:afterAutospacing="1"/>
            </w:pPr>
            <w:r w:rsidRPr="00352DBC">
              <w:rPr>
                <w:rStyle w:val="Strong"/>
              </w:rPr>
              <w:t>Appointments/Titles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5"/>
              </w:numPr>
              <w:spacing w:before="100" w:beforeAutospacing="1" w:after="100" w:afterAutospacing="1"/>
            </w:pPr>
            <w:r w:rsidRPr="00352DBC">
              <w:rPr>
                <w:rStyle w:val="Strong"/>
              </w:rPr>
              <w:t>Teaching</w:t>
            </w:r>
            <w:r w:rsidRPr="00352DBC">
              <w:t xml:space="preserve"> </w:t>
            </w:r>
          </w:p>
          <w:p w:rsidR="00352DBC" w:rsidRPr="00352DBC" w:rsidRDefault="00352DBC" w:rsidP="00352DBC">
            <w:pPr>
              <w:numPr>
                <w:ilvl w:val="1"/>
                <w:numId w:val="5"/>
              </w:numPr>
              <w:spacing w:before="100" w:beforeAutospacing="1" w:after="100" w:afterAutospacing="1"/>
            </w:pPr>
            <w:r w:rsidRPr="00352DBC">
              <w:t>Courses</w:t>
            </w:r>
          </w:p>
          <w:p w:rsidR="00352DBC" w:rsidRPr="00352DBC" w:rsidRDefault="00352DBC" w:rsidP="00352DBC">
            <w:pPr>
              <w:numPr>
                <w:ilvl w:val="1"/>
                <w:numId w:val="5"/>
              </w:numPr>
              <w:spacing w:before="100" w:beforeAutospacing="1" w:after="100" w:afterAutospacing="1"/>
            </w:pPr>
            <w:r w:rsidRPr="00352DBC">
              <w:t>Teaching Projects</w:t>
            </w:r>
          </w:p>
          <w:p w:rsidR="00352DBC" w:rsidRPr="00352DBC" w:rsidRDefault="00352DBC" w:rsidP="00352DBC">
            <w:pPr>
              <w:numPr>
                <w:ilvl w:val="1"/>
                <w:numId w:val="5"/>
              </w:numPr>
              <w:spacing w:before="100" w:beforeAutospacing="1" w:after="100" w:afterAutospacing="1"/>
            </w:pPr>
            <w:r w:rsidRPr="00352DBC">
              <w:t>Graduate Students</w:t>
            </w:r>
          </w:p>
          <w:p w:rsidR="00352DBC" w:rsidRPr="00352DBC" w:rsidRDefault="00352DBC" w:rsidP="00352DBC">
            <w:pPr>
              <w:numPr>
                <w:ilvl w:val="1"/>
                <w:numId w:val="5"/>
              </w:numPr>
              <w:spacing w:before="100" w:beforeAutospacing="1" w:after="100" w:afterAutospacing="1"/>
            </w:pPr>
            <w:r w:rsidRPr="00352DBC">
              <w:t>Student Projects</w:t>
            </w:r>
          </w:p>
          <w:p w:rsidR="00352DBC" w:rsidRPr="00352DBC" w:rsidRDefault="00352DBC" w:rsidP="00352DBC">
            <w:pPr>
              <w:numPr>
                <w:ilvl w:val="1"/>
                <w:numId w:val="5"/>
              </w:numPr>
              <w:spacing w:before="100" w:beforeAutospacing="1" w:after="100" w:afterAutospacing="1"/>
            </w:pPr>
            <w:r w:rsidRPr="00352DBC">
              <w:t>Additional Teaching Contributions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6"/>
              </w:numPr>
              <w:spacing w:before="100" w:beforeAutospacing="1" w:after="100" w:afterAutospacing="1"/>
            </w:pPr>
            <w:r w:rsidRPr="00352DBC">
              <w:rPr>
                <w:rStyle w:val="Strong"/>
              </w:rPr>
              <w:t>Training</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7"/>
              </w:numPr>
              <w:spacing w:before="100" w:beforeAutospacing="1" w:after="100" w:afterAutospacing="1"/>
            </w:pPr>
            <w:r w:rsidRPr="00352DBC">
              <w:rPr>
                <w:rStyle w:val="Strong"/>
              </w:rPr>
              <w:t>Publications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8"/>
              </w:numPr>
              <w:spacing w:before="100" w:beforeAutospacing="1" w:after="100" w:afterAutospacing="1"/>
            </w:pPr>
            <w:r w:rsidRPr="00352DBC">
              <w:rPr>
                <w:rStyle w:val="Strong"/>
              </w:rPr>
              <w:t>Research/Scholarship</w:t>
            </w:r>
            <w:r w:rsidRPr="00352DBC">
              <w:t xml:space="preserve"> </w:t>
            </w:r>
          </w:p>
          <w:p w:rsidR="00352DBC" w:rsidRPr="00352DBC" w:rsidRDefault="00352DBC" w:rsidP="00352DBC">
            <w:pPr>
              <w:numPr>
                <w:ilvl w:val="1"/>
                <w:numId w:val="8"/>
              </w:numPr>
              <w:spacing w:before="100" w:beforeAutospacing="1" w:after="100" w:afterAutospacing="1"/>
            </w:pPr>
            <w:r w:rsidRPr="00352DBC">
              <w:t>Creative Works</w:t>
            </w:r>
          </w:p>
          <w:p w:rsidR="00352DBC" w:rsidRPr="00352DBC" w:rsidRDefault="00352DBC" w:rsidP="00352DBC">
            <w:pPr>
              <w:numPr>
                <w:ilvl w:val="1"/>
                <w:numId w:val="8"/>
              </w:numPr>
              <w:spacing w:before="100" w:beforeAutospacing="1" w:after="100" w:afterAutospacing="1"/>
            </w:pPr>
            <w:r w:rsidRPr="00352DBC">
              <w:t>Grants and Contracts</w:t>
            </w:r>
          </w:p>
          <w:p w:rsidR="00352DBC" w:rsidRPr="00352DBC" w:rsidRDefault="00352DBC" w:rsidP="00352DBC">
            <w:pPr>
              <w:numPr>
                <w:ilvl w:val="1"/>
                <w:numId w:val="8"/>
              </w:numPr>
              <w:spacing w:before="100" w:beforeAutospacing="1" w:after="100" w:afterAutospacing="1"/>
            </w:pPr>
            <w:r w:rsidRPr="00352DBC">
              <w:t>Proposals</w:t>
            </w:r>
          </w:p>
          <w:p w:rsidR="00352DBC" w:rsidRPr="00352DBC" w:rsidRDefault="00352DBC" w:rsidP="00352DBC">
            <w:pPr>
              <w:numPr>
                <w:ilvl w:val="1"/>
                <w:numId w:val="8"/>
              </w:numPr>
              <w:spacing w:before="100" w:beforeAutospacing="1" w:after="100" w:afterAutospacing="1"/>
            </w:pPr>
            <w:r w:rsidRPr="00352DBC">
              <w:t>Equipment &amp; Non-Research Gifts</w:t>
            </w:r>
          </w:p>
          <w:p w:rsidR="00352DBC" w:rsidRPr="00352DBC" w:rsidRDefault="00352DBC" w:rsidP="00352DBC">
            <w:pPr>
              <w:numPr>
                <w:ilvl w:val="1"/>
                <w:numId w:val="8"/>
              </w:numPr>
              <w:spacing w:before="100" w:beforeAutospacing="1" w:after="100" w:afterAutospacing="1"/>
            </w:pPr>
            <w:r w:rsidRPr="00352DBC">
              <w:t>Other Research</w:t>
            </w:r>
          </w:p>
          <w:p w:rsidR="00352DBC" w:rsidRPr="00352DBC" w:rsidRDefault="00352DBC" w:rsidP="00352DBC">
            <w:pPr>
              <w:numPr>
                <w:ilvl w:val="1"/>
                <w:numId w:val="8"/>
              </w:numPr>
              <w:spacing w:before="100" w:beforeAutospacing="1" w:after="100" w:afterAutospacing="1"/>
            </w:pPr>
            <w:r w:rsidRPr="00352DBC">
              <w:t>Additional Research Contributions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9"/>
              </w:numPr>
              <w:spacing w:before="100" w:beforeAutospacing="1" w:after="100" w:afterAutospacing="1"/>
            </w:pPr>
            <w:r w:rsidRPr="00352DBC">
              <w:rPr>
                <w:rStyle w:val="Strong"/>
              </w:rPr>
              <w:t>Faculty Practice</w:t>
            </w:r>
            <w:r w:rsidRPr="00352DBC">
              <w:t xml:space="preserve"> </w:t>
            </w:r>
          </w:p>
          <w:p w:rsidR="00352DBC" w:rsidRPr="00352DBC" w:rsidRDefault="00352DBC" w:rsidP="00352DBC">
            <w:pPr>
              <w:numPr>
                <w:ilvl w:val="1"/>
                <w:numId w:val="9"/>
              </w:numPr>
              <w:spacing w:before="100" w:beforeAutospacing="1" w:after="100" w:afterAutospacing="1"/>
            </w:pPr>
            <w:r w:rsidRPr="00352DBC">
              <w:t>Practice History</w:t>
            </w:r>
          </w:p>
          <w:p w:rsidR="00352DBC" w:rsidRPr="00352DBC" w:rsidRDefault="00352DBC" w:rsidP="00352DBC">
            <w:pPr>
              <w:numPr>
                <w:ilvl w:val="1"/>
                <w:numId w:val="9"/>
              </w:numPr>
              <w:spacing w:before="100" w:beforeAutospacing="1" w:after="100" w:afterAutospacing="1"/>
            </w:pPr>
            <w:r w:rsidRPr="00352DBC">
              <w:t>Patient/Client Satisfaction</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0"/>
              </w:numPr>
              <w:spacing w:before="100" w:beforeAutospacing="1" w:after="100" w:afterAutospacing="1"/>
            </w:pPr>
            <w:r w:rsidRPr="00352DBC">
              <w:rPr>
                <w:rStyle w:val="Strong"/>
              </w:rPr>
              <w:t>Intellectual Property</w:t>
            </w:r>
            <w:r w:rsidRPr="00352DBC">
              <w:t xml:space="preserve"> </w:t>
            </w:r>
          </w:p>
          <w:p w:rsidR="00352DBC" w:rsidRPr="00352DBC" w:rsidRDefault="00352DBC" w:rsidP="00352DBC">
            <w:pPr>
              <w:numPr>
                <w:ilvl w:val="1"/>
                <w:numId w:val="10"/>
              </w:numPr>
              <w:spacing w:before="100" w:beforeAutospacing="1" w:after="100" w:afterAutospacing="1"/>
            </w:pPr>
            <w:r w:rsidRPr="00352DBC">
              <w:t>Patents</w:t>
            </w:r>
          </w:p>
          <w:p w:rsidR="00352DBC" w:rsidRPr="00352DBC" w:rsidRDefault="00352DBC" w:rsidP="00352DBC">
            <w:pPr>
              <w:numPr>
                <w:ilvl w:val="1"/>
                <w:numId w:val="10"/>
              </w:numPr>
              <w:spacing w:before="100" w:beforeAutospacing="1" w:after="100" w:afterAutospacing="1"/>
            </w:pPr>
            <w:r w:rsidRPr="00352DBC">
              <w:t>Disclosures</w:t>
            </w:r>
          </w:p>
          <w:p w:rsidR="00352DBC" w:rsidRPr="00352DBC" w:rsidRDefault="00352DBC" w:rsidP="00352DBC">
            <w:pPr>
              <w:numPr>
                <w:ilvl w:val="1"/>
                <w:numId w:val="10"/>
              </w:numPr>
              <w:spacing w:before="100" w:beforeAutospacing="1" w:after="100" w:afterAutospacing="1"/>
            </w:pPr>
            <w:r w:rsidRPr="00352DBC">
              <w:t>Copyrights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1"/>
              </w:numPr>
              <w:spacing w:before="100" w:beforeAutospacing="1" w:after="100" w:afterAutospacing="1"/>
            </w:pPr>
            <w:r w:rsidRPr="00352DBC">
              <w:rPr>
                <w:rStyle w:val="Strong"/>
              </w:rPr>
              <w:t>Software</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2"/>
              </w:numPr>
              <w:spacing w:before="100" w:beforeAutospacing="1" w:after="100" w:afterAutospacing="1"/>
            </w:pPr>
            <w:r w:rsidRPr="00352DBC">
              <w:rPr>
                <w:rStyle w:val="Strong"/>
              </w:rPr>
              <w:t>Service</w:t>
            </w:r>
            <w:r w:rsidRPr="00352DBC">
              <w:t xml:space="preserve"> </w:t>
            </w:r>
          </w:p>
          <w:p w:rsidR="00352DBC" w:rsidRPr="00352DBC" w:rsidRDefault="00352DBC" w:rsidP="00352DBC">
            <w:pPr>
              <w:numPr>
                <w:ilvl w:val="1"/>
                <w:numId w:val="12"/>
              </w:numPr>
              <w:spacing w:before="100" w:beforeAutospacing="1" w:after="100" w:afterAutospacing="1"/>
            </w:pPr>
            <w:r w:rsidRPr="00352DBC">
              <w:t>Professional</w:t>
            </w:r>
          </w:p>
          <w:p w:rsidR="00352DBC" w:rsidRPr="00352DBC" w:rsidRDefault="00352DBC" w:rsidP="00352DBC">
            <w:pPr>
              <w:numPr>
                <w:ilvl w:val="1"/>
                <w:numId w:val="12"/>
              </w:numPr>
              <w:spacing w:before="100" w:beforeAutospacing="1" w:after="100" w:afterAutospacing="1"/>
            </w:pPr>
            <w:r w:rsidRPr="00352DBC">
              <w:t>Internal</w:t>
            </w:r>
          </w:p>
          <w:p w:rsidR="00352DBC" w:rsidRPr="00352DBC" w:rsidRDefault="00352DBC" w:rsidP="00352DBC">
            <w:pPr>
              <w:numPr>
                <w:ilvl w:val="1"/>
                <w:numId w:val="12"/>
              </w:numPr>
              <w:spacing w:before="100" w:beforeAutospacing="1" w:after="100" w:afterAutospacing="1"/>
            </w:pPr>
            <w:r w:rsidRPr="00352DBC">
              <w:t>Mentoring</w:t>
            </w:r>
          </w:p>
          <w:p w:rsidR="00352DBC" w:rsidRPr="00352DBC" w:rsidRDefault="00352DBC" w:rsidP="00352DBC">
            <w:pPr>
              <w:numPr>
                <w:ilvl w:val="1"/>
                <w:numId w:val="12"/>
              </w:numPr>
              <w:spacing w:before="100" w:beforeAutospacing="1" w:after="100" w:afterAutospacing="1"/>
            </w:pPr>
            <w:r w:rsidRPr="00352DBC">
              <w:t>Community Partnerships/Outreach</w:t>
            </w:r>
          </w:p>
          <w:p w:rsidR="00352DBC" w:rsidRPr="00352DBC" w:rsidRDefault="00352DBC" w:rsidP="00352DBC">
            <w:pPr>
              <w:numPr>
                <w:ilvl w:val="1"/>
                <w:numId w:val="12"/>
              </w:numPr>
              <w:spacing w:before="100" w:beforeAutospacing="1" w:after="100" w:afterAutospacing="1"/>
            </w:pPr>
            <w:r w:rsidRPr="00352DBC">
              <w:t>Media Exposure</w:t>
            </w:r>
          </w:p>
          <w:p w:rsidR="00352DBC" w:rsidRPr="00352DBC" w:rsidRDefault="00352DBC" w:rsidP="00352DBC">
            <w:pPr>
              <w:numPr>
                <w:ilvl w:val="1"/>
                <w:numId w:val="12"/>
              </w:numPr>
              <w:spacing w:before="100" w:beforeAutospacing="1" w:after="100" w:afterAutospacing="1"/>
            </w:pPr>
            <w:r w:rsidRPr="00352DBC">
              <w:t>Additional Service Contributions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3"/>
              </w:numPr>
              <w:spacing w:before="100" w:beforeAutospacing="1" w:after="100" w:afterAutospacing="1"/>
            </w:pPr>
            <w:r w:rsidRPr="00352DBC">
              <w:rPr>
                <w:rStyle w:val="Strong"/>
              </w:rPr>
              <w:t>Honors and Awards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4"/>
              </w:numPr>
              <w:spacing w:before="100" w:beforeAutospacing="1" w:after="100" w:afterAutospacing="1"/>
            </w:pPr>
            <w:r w:rsidRPr="00352DBC">
              <w:rPr>
                <w:rStyle w:val="Strong"/>
              </w:rPr>
              <w:t>International Experience</w:t>
            </w:r>
            <w:r w:rsidRPr="00352DBC">
              <w:t xml:space="preserve"> </w:t>
            </w:r>
          </w:p>
          <w:p w:rsidR="00352DBC" w:rsidRPr="00352DBC" w:rsidRDefault="00352DBC" w:rsidP="00352DBC">
            <w:pPr>
              <w:numPr>
                <w:ilvl w:val="1"/>
                <w:numId w:val="14"/>
              </w:numPr>
              <w:spacing w:before="100" w:beforeAutospacing="1" w:after="100" w:afterAutospacing="1"/>
            </w:pPr>
            <w:r w:rsidRPr="00352DBC">
              <w:t>Languages*</w:t>
            </w:r>
          </w:p>
          <w:p w:rsidR="00352DBC" w:rsidRPr="00352DBC" w:rsidRDefault="00352DBC" w:rsidP="00352DBC">
            <w:pPr>
              <w:numPr>
                <w:ilvl w:val="1"/>
                <w:numId w:val="14"/>
              </w:numPr>
              <w:spacing w:before="100" w:beforeAutospacing="1" w:after="100" w:afterAutospacing="1"/>
            </w:pPr>
            <w:r w:rsidRPr="00352DBC">
              <w:t>Geographical Regions of Interest*</w:t>
            </w:r>
          </w:p>
          <w:p w:rsidR="00352DBC" w:rsidRPr="00352DBC" w:rsidRDefault="00352DBC" w:rsidP="00352DBC">
            <w:pPr>
              <w:numPr>
                <w:ilvl w:val="1"/>
                <w:numId w:val="14"/>
              </w:numPr>
              <w:spacing w:before="100" w:beforeAutospacing="1" w:after="100" w:afterAutospacing="1"/>
            </w:pPr>
            <w:r w:rsidRPr="00352DBC">
              <w:t>International Conferences Attended*</w:t>
            </w:r>
          </w:p>
          <w:p w:rsidR="00352DBC" w:rsidRPr="00352DBC" w:rsidRDefault="00352DBC" w:rsidP="00352DBC">
            <w:pPr>
              <w:numPr>
                <w:ilvl w:val="1"/>
                <w:numId w:val="14"/>
              </w:numPr>
              <w:spacing w:before="100" w:beforeAutospacing="1" w:after="100" w:afterAutospacing="1"/>
            </w:pPr>
            <w:r w:rsidRPr="00352DBC">
              <w:t>Teaching Abroad*</w:t>
            </w:r>
          </w:p>
          <w:p w:rsidR="00352DBC" w:rsidRPr="00352DBC" w:rsidRDefault="00352DBC" w:rsidP="00352DBC">
            <w:pPr>
              <w:numPr>
                <w:ilvl w:val="1"/>
                <w:numId w:val="14"/>
              </w:numPr>
              <w:spacing w:before="100" w:beforeAutospacing="1" w:after="100" w:afterAutospacing="1"/>
            </w:pPr>
            <w:r w:rsidRPr="00352DBC">
              <w:t>Collegial Time Abroad*</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5"/>
              </w:numPr>
              <w:spacing w:before="100" w:beforeAutospacing="1" w:after="100" w:afterAutospacing="1"/>
            </w:pPr>
            <w:r w:rsidRPr="00352DBC">
              <w:rPr>
                <w:rStyle w:val="Strong"/>
              </w:rPr>
              <w:t>Summary &amp; Future Plans/Annual Goals</w:t>
            </w:r>
          </w:p>
        </w:tc>
      </w:tr>
      <w:tr w:rsidR="00352DBC" w:rsidRPr="00352DBC" w:rsidTr="00352DBC">
        <w:trPr>
          <w:tblCellSpacing w:w="37" w:type="dxa"/>
        </w:trPr>
        <w:tc>
          <w:tcPr>
            <w:tcW w:w="0" w:type="auto"/>
            <w:vAlign w:val="center"/>
            <w:hideMark/>
          </w:tcPr>
          <w:p w:rsidR="00352DBC" w:rsidRPr="00352DBC" w:rsidRDefault="00352DBC" w:rsidP="00352DBC">
            <w:pPr>
              <w:numPr>
                <w:ilvl w:val="0"/>
                <w:numId w:val="16"/>
              </w:numPr>
              <w:spacing w:before="100" w:beforeAutospacing="1" w:after="100" w:afterAutospacing="1"/>
            </w:pPr>
            <w:r w:rsidRPr="00352DBC">
              <w:rPr>
                <w:rStyle w:val="Strong"/>
              </w:rPr>
              <w:t>Find a Researcher</w:t>
            </w:r>
            <w:r w:rsidRPr="00352DBC">
              <w:t xml:space="preserve"> </w:t>
            </w:r>
          </w:p>
          <w:p w:rsidR="00352DBC" w:rsidRPr="00352DBC" w:rsidRDefault="00352DBC" w:rsidP="00352DBC">
            <w:pPr>
              <w:numPr>
                <w:ilvl w:val="1"/>
                <w:numId w:val="16"/>
              </w:numPr>
              <w:spacing w:before="100" w:beforeAutospacing="1" w:after="100" w:afterAutospacing="1"/>
            </w:pPr>
            <w:r w:rsidRPr="00352DBC">
              <w:t>Research Summary*</w:t>
            </w:r>
          </w:p>
          <w:p w:rsidR="00352DBC" w:rsidRPr="00352DBC" w:rsidRDefault="00352DBC" w:rsidP="00352DBC">
            <w:pPr>
              <w:numPr>
                <w:ilvl w:val="1"/>
                <w:numId w:val="16"/>
              </w:numPr>
              <w:spacing w:before="100" w:beforeAutospacing="1" w:after="100" w:afterAutospacing="1"/>
            </w:pPr>
            <w:r w:rsidRPr="00352DBC">
              <w:t>Research Statement*</w:t>
            </w:r>
          </w:p>
          <w:p w:rsidR="00352DBC" w:rsidRPr="00352DBC" w:rsidRDefault="00352DBC" w:rsidP="00352DBC">
            <w:pPr>
              <w:numPr>
                <w:ilvl w:val="1"/>
                <w:numId w:val="16"/>
              </w:numPr>
              <w:spacing w:before="100" w:beforeAutospacing="1" w:after="100" w:afterAutospacing="1"/>
            </w:pPr>
            <w:r w:rsidRPr="00352DBC">
              <w:t>Research Keywords*</w:t>
            </w:r>
          </w:p>
          <w:p w:rsidR="00352DBC" w:rsidRPr="00352DBC" w:rsidRDefault="00352DBC" w:rsidP="00352DBC">
            <w:pPr>
              <w:numPr>
                <w:ilvl w:val="1"/>
                <w:numId w:val="16"/>
              </w:numPr>
              <w:spacing w:before="100" w:beforeAutospacing="1" w:after="100" w:afterAutospacing="1"/>
            </w:pPr>
            <w:r w:rsidRPr="00352DBC">
              <w:t>Research Equipment &amp; Testing Expertise*</w:t>
            </w:r>
          </w:p>
          <w:p w:rsidR="00352DBC" w:rsidRPr="00352DBC" w:rsidRDefault="00352DBC" w:rsidP="00352DBC">
            <w:pPr>
              <w:numPr>
                <w:ilvl w:val="1"/>
                <w:numId w:val="16"/>
              </w:numPr>
              <w:spacing w:before="100" w:beforeAutospacing="1" w:after="100" w:afterAutospacing="1"/>
            </w:pPr>
            <w:r w:rsidRPr="00352DBC">
              <w:t>Public Directory Information*</w:t>
            </w:r>
          </w:p>
          <w:p w:rsidR="00352DBC" w:rsidRPr="00352DBC" w:rsidRDefault="00352DBC">
            <w:pPr>
              <w:pStyle w:val="NormalWeb"/>
              <w:rPr>
                <w:rFonts w:asciiTheme="minorHAnsi" w:hAnsiTheme="minorHAnsi"/>
              </w:rPr>
            </w:pPr>
            <w:r w:rsidRPr="00352DBC">
              <w:rPr>
                <w:rFonts w:asciiTheme="minorHAnsi" w:hAnsiTheme="minorHAnsi"/>
              </w:rPr>
              <w:t xml:space="preserve">*public information searchable at the U's </w:t>
            </w:r>
            <w:hyperlink r:id="rId36" w:history="1">
              <w:r w:rsidRPr="00352DBC">
                <w:rPr>
                  <w:rStyle w:val="Hyperlink"/>
                  <w:rFonts w:asciiTheme="minorHAnsi" w:hAnsiTheme="minorHAnsi"/>
                </w:rPr>
                <w:t>Find a Researcher</w:t>
              </w:r>
            </w:hyperlink>
            <w:r w:rsidRPr="00352DBC">
              <w:rPr>
                <w:rFonts w:asciiTheme="minorHAnsi" w:hAnsiTheme="minorHAnsi"/>
              </w:rPr>
              <w:t xml:space="preserve"> site.</w:t>
            </w:r>
          </w:p>
        </w:tc>
      </w:tr>
    </w:tbl>
    <w:p w:rsidR="00352DBC" w:rsidRPr="00352DBC" w:rsidRDefault="00352DBC" w:rsidP="00352DBC">
      <w:pPr>
        <w:pStyle w:val="Heading2"/>
        <w:rPr>
          <w:rFonts w:asciiTheme="minorHAnsi" w:hAnsiTheme="minorHAnsi"/>
        </w:rPr>
      </w:pPr>
      <w:r w:rsidRPr="00352DBC">
        <w:rPr>
          <w:rFonts w:asciiTheme="minorHAnsi" w:hAnsiTheme="minorHAnsi"/>
        </w:rPr>
        <w:t>History of the FAR System</w:t>
      </w:r>
    </w:p>
    <w:p w:rsidR="00352DBC" w:rsidRPr="00352DBC" w:rsidRDefault="00352DBC" w:rsidP="00352DBC">
      <w:pPr>
        <w:pStyle w:val="NormalWeb"/>
        <w:rPr>
          <w:rFonts w:asciiTheme="minorHAnsi" w:hAnsiTheme="minorHAnsi"/>
        </w:rPr>
      </w:pPr>
      <w:r w:rsidRPr="00352DBC">
        <w:rPr>
          <w:rFonts w:asciiTheme="minorHAnsi" w:hAnsiTheme="minorHAnsi"/>
        </w:rPr>
        <w:t>When President Michael Young arrived at the University of Utah, there was no centralized database containing faculty activity information. Campus administrators worked with UIT and the College of Engineering on a pilot project to create an online application to collect, store, and report on faculty data. The College of Engineering first used the FAR to collect 2006 faculty data, and worked with UIT over the subsequent years to improve the application. In 2009 five colleges and one additional department used the FAR for 2008 activity reports; in 2012 all colleges and the Marriott Library had access to the FAR. In August 2012 the AVP for Faculty office assumed management and non-technical support of the system.</w:t>
      </w:r>
    </w:p>
    <w:p w:rsidR="00352DBC" w:rsidRDefault="00352DBC" w:rsidP="00352DBC">
      <w:pPr>
        <w:pStyle w:val="NormalWeb"/>
        <w:pBdr>
          <w:bottom w:val="single" w:sz="6" w:space="1" w:color="auto"/>
        </w:pBdr>
        <w:rPr>
          <w:rFonts w:asciiTheme="minorHAnsi" w:hAnsiTheme="minorHAnsi"/>
        </w:rPr>
      </w:pPr>
    </w:p>
    <w:p w:rsidR="00352DBC" w:rsidRPr="00352DBC" w:rsidRDefault="00352DBC" w:rsidP="00352DBC">
      <w:pPr>
        <w:pStyle w:val="Heading1"/>
        <w:rPr>
          <w:rFonts w:asciiTheme="minorHAnsi" w:hAnsiTheme="minorHAnsi"/>
        </w:rPr>
      </w:pPr>
      <w:r w:rsidRPr="00352DBC">
        <w:rPr>
          <w:rFonts w:asciiTheme="minorHAnsi" w:hAnsiTheme="minorHAnsi"/>
        </w:rPr>
        <w:t>FAR Reports</w:t>
      </w:r>
    </w:p>
    <w:p w:rsidR="00352DBC" w:rsidRPr="00352DBC" w:rsidRDefault="00352DBC" w:rsidP="00352DBC">
      <w:pPr>
        <w:pStyle w:val="NormalWeb"/>
        <w:rPr>
          <w:rFonts w:asciiTheme="minorHAnsi" w:hAnsiTheme="minorHAnsi"/>
        </w:rPr>
      </w:pPr>
      <w:r w:rsidRPr="00352DBC">
        <w:rPr>
          <w:rFonts w:asciiTheme="minorHAnsi" w:hAnsiTheme="minorHAnsi"/>
        </w:rPr>
        <w:t>Individual and aggregate FAR data reports and CVs are accessible to college and departmental FAR administrators. Admins with departmental access may run department-level reports; admins with college-wide access may run college and department reports. Aggregate reports are returned as Microsoft Excel (.</w:t>
      </w:r>
      <w:proofErr w:type="spellStart"/>
      <w:r w:rsidRPr="00352DBC">
        <w:rPr>
          <w:rFonts w:asciiTheme="minorHAnsi" w:hAnsiTheme="minorHAnsi"/>
        </w:rPr>
        <w:t>xls</w:t>
      </w:r>
      <w:proofErr w:type="spellEnd"/>
      <w:r w:rsidRPr="00352DBC">
        <w:rPr>
          <w:rFonts w:asciiTheme="minorHAnsi" w:hAnsiTheme="minorHAnsi"/>
        </w:rPr>
        <w:t>) files.</w:t>
      </w:r>
    </w:p>
    <w:p w:rsidR="00352DBC" w:rsidRPr="00352DBC" w:rsidRDefault="00352DBC" w:rsidP="00352DBC">
      <w:pPr>
        <w:pStyle w:val="NormalWeb"/>
        <w:rPr>
          <w:rFonts w:asciiTheme="minorHAnsi" w:hAnsiTheme="minorHAnsi"/>
        </w:rPr>
      </w:pPr>
      <w:r w:rsidRPr="00352DBC">
        <w:rPr>
          <w:rFonts w:asciiTheme="minorHAnsi" w:hAnsiTheme="minorHAnsi"/>
          <w:b/>
          <w:bCs/>
        </w:rPr>
        <w:br/>
      </w:r>
      <w:r w:rsidRPr="00352DBC">
        <w:rPr>
          <w:rStyle w:val="Strong"/>
          <w:rFonts w:asciiTheme="minorHAnsi" w:eastAsiaTheme="majorEastAsia" w:hAnsiTheme="minorHAnsi"/>
        </w:rPr>
        <w:t xml:space="preserve">FAR Reports </w:t>
      </w:r>
      <w:hyperlink r:id="rId37" w:history="1">
        <w:r w:rsidRPr="00352DBC">
          <w:rPr>
            <w:rStyle w:val="Hyperlink"/>
            <w:rFonts w:asciiTheme="minorHAnsi" w:hAnsiTheme="minorHAnsi"/>
            <w:b/>
            <w:bCs/>
          </w:rPr>
          <w:t>https://faculty.utah.edu/reports</w:t>
        </w:r>
      </w:hyperlink>
    </w:p>
    <w:p w:rsidR="00352DBC" w:rsidRPr="00352DBC" w:rsidRDefault="00352DBC" w:rsidP="00352DBC">
      <w:pPr>
        <w:pStyle w:val="NormalWeb"/>
        <w:rPr>
          <w:rFonts w:asciiTheme="minorHAnsi" w:hAnsiTheme="minorHAnsi"/>
        </w:rPr>
      </w:pPr>
      <w:r w:rsidRPr="00352DBC">
        <w:rPr>
          <w:rFonts w:asciiTheme="minorHAnsi" w:hAnsiTheme="minorHAnsi"/>
        </w:rPr>
        <w:br/>
        <w:t>Aggregate report types include:</w:t>
      </w:r>
    </w:p>
    <w:p w:rsidR="00352DBC" w:rsidRPr="00352DBC" w:rsidRDefault="00352DBC" w:rsidP="00352DBC">
      <w:pPr>
        <w:numPr>
          <w:ilvl w:val="0"/>
          <w:numId w:val="17"/>
        </w:numPr>
        <w:spacing w:before="100" w:beforeAutospacing="1" w:after="100" w:afterAutospacing="1"/>
      </w:pPr>
      <w:r w:rsidRPr="00352DBC">
        <w:t>Appointments/Titles</w:t>
      </w:r>
    </w:p>
    <w:p w:rsidR="00352DBC" w:rsidRPr="00352DBC" w:rsidRDefault="00352DBC" w:rsidP="00352DBC">
      <w:pPr>
        <w:numPr>
          <w:ilvl w:val="0"/>
          <w:numId w:val="17"/>
        </w:numPr>
        <w:spacing w:before="100" w:beforeAutospacing="1" w:after="100" w:afterAutospacing="1"/>
      </w:pPr>
      <w:r w:rsidRPr="00352DBC">
        <w:t>Faculty Practice</w:t>
      </w:r>
    </w:p>
    <w:p w:rsidR="00352DBC" w:rsidRPr="00352DBC" w:rsidRDefault="00352DBC" w:rsidP="00352DBC">
      <w:pPr>
        <w:numPr>
          <w:ilvl w:val="0"/>
          <w:numId w:val="17"/>
        </w:numPr>
        <w:spacing w:before="100" w:beforeAutospacing="1" w:after="100" w:afterAutospacing="1"/>
      </w:pPr>
      <w:r w:rsidRPr="00352DBC">
        <w:t>Honors &amp; Awards</w:t>
      </w:r>
    </w:p>
    <w:p w:rsidR="00352DBC" w:rsidRPr="00352DBC" w:rsidRDefault="00352DBC" w:rsidP="00352DBC">
      <w:pPr>
        <w:numPr>
          <w:ilvl w:val="0"/>
          <w:numId w:val="17"/>
        </w:numPr>
        <w:spacing w:before="100" w:beforeAutospacing="1" w:after="100" w:afterAutospacing="1"/>
      </w:pPr>
      <w:r w:rsidRPr="00352DBC">
        <w:t>Intellectual Property</w:t>
      </w:r>
    </w:p>
    <w:p w:rsidR="00352DBC" w:rsidRPr="00352DBC" w:rsidRDefault="00352DBC" w:rsidP="00352DBC">
      <w:pPr>
        <w:numPr>
          <w:ilvl w:val="0"/>
          <w:numId w:val="17"/>
        </w:numPr>
        <w:spacing w:before="100" w:beforeAutospacing="1" w:after="100" w:afterAutospacing="1"/>
      </w:pPr>
      <w:r w:rsidRPr="00352DBC">
        <w:t>International Experience</w:t>
      </w:r>
    </w:p>
    <w:p w:rsidR="00352DBC" w:rsidRPr="00352DBC" w:rsidRDefault="00352DBC" w:rsidP="00352DBC">
      <w:pPr>
        <w:numPr>
          <w:ilvl w:val="0"/>
          <w:numId w:val="17"/>
        </w:numPr>
        <w:spacing w:before="100" w:beforeAutospacing="1" w:after="100" w:afterAutospacing="1"/>
      </w:pPr>
      <w:r w:rsidRPr="00352DBC">
        <w:t>Miscellaneous/</w:t>
      </w:r>
      <w:proofErr w:type="spellStart"/>
      <w:r w:rsidRPr="00352DBC">
        <w:t>Adminstrative</w:t>
      </w:r>
      <w:proofErr w:type="spellEnd"/>
    </w:p>
    <w:p w:rsidR="00352DBC" w:rsidRPr="00352DBC" w:rsidRDefault="00352DBC" w:rsidP="00352DBC">
      <w:pPr>
        <w:numPr>
          <w:ilvl w:val="0"/>
          <w:numId w:val="17"/>
        </w:numPr>
        <w:spacing w:before="100" w:beforeAutospacing="1" w:after="100" w:afterAutospacing="1"/>
      </w:pPr>
      <w:r w:rsidRPr="00352DBC">
        <w:t>Publications &amp; Presentations</w:t>
      </w:r>
    </w:p>
    <w:p w:rsidR="00352DBC" w:rsidRPr="00352DBC" w:rsidRDefault="00352DBC" w:rsidP="00352DBC">
      <w:pPr>
        <w:numPr>
          <w:ilvl w:val="0"/>
          <w:numId w:val="17"/>
        </w:numPr>
        <w:spacing w:before="100" w:beforeAutospacing="1" w:after="100" w:afterAutospacing="1"/>
      </w:pPr>
      <w:r w:rsidRPr="00352DBC">
        <w:t>Research/Scholarship</w:t>
      </w:r>
    </w:p>
    <w:p w:rsidR="00352DBC" w:rsidRPr="00352DBC" w:rsidRDefault="00352DBC" w:rsidP="00352DBC">
      <w:pPr>
        <w:numPr>
          <w:ilvl w:val="0"/>
          <w:numId w:val="17"/>
        </w:numPr>
        <w:spacing w:before="100" w:beforeAutospacing="1" w:after="100" w:afterAutospacing="1"/>
      </w:pPr>
      <w:r w:rsidRPr="00352DBC">
        <w:t>Service</w:t>
      </w:r>
    </w:p>
    <w:p w:rsidR="00352DBC" w:rsidRPr="00352DBC" w:rsidRDefault="00352DBC" w:rsidP="00352DBC">
      <w:pPr>
        <w:numPr>
          <w:ilvl w:val="0"/>
          <w:numId w:val="17"/>
        </w:numPr>
        <w:spacing w:before="100" w:beforeAutospacing="1" w:after="100" w:afterAutospacing="1"/>
      </w:pPr>
      <w:r w:rsidRPr="00352DBC">
        <w:t>Software</w:t>
      </w:r>
    </w:p>
    <w:p w:rsidR="00352DBC" w:rsidRPr="00352DBC" w:rsidRDefault="00352DBC" w:rsidP="00352DBC">
      <w:pPr>
        <w:numPr>
          <w:ilvl w:val="0"/>
          <w:numId w:val="17"/>
        </w:numPr>
        <w:spacing w:before="100" w:beforeAutospacing="1" w:after="100" w:afterAutospacing="1"/>
      </w:pPr>
      <w:r w:rsidRPr="00352DBC">
        <w:t>Teaching</w:t>
      </w:r>
    </w:p>
    <w:p w:rsidR="00352DBC" w:rsidRPr="00352DBC" w:rsidRDefault="00352DBC" w:rsidP="00352DBC">
      <w:pPr>
        <w:numPr>
          <w:ilvl w:val="0"/>
          <w:numId w:val="17"/>
        </w:numPr>
        <w:spacing w:before="100" w:beforeAutospacing="1" w:after="100" w:afterAutospacing="1"/>
      </w:pPr>
      <w:r w:rsidRPr="00352DBC">
        <w:t>Training</w:t>
      </w:r>
    </w:p>
    <w:p w:rsidR="00352DBC" w:rsidRPr="00352DBC" w:rsidRDefault="00352DBC" w:rsidP="00352DBC">
      <w:pPr>
        <w:numPr>
          <w:ilvl w:val="0"/>
          <w:numId w:val="17"/>
        </w:numPr>
        <w:spacing w:before="100" w:beforeAutospacing="1" w:after="100" w:afterAutospacing="1"/>
      </w:pPr>
      <w:r w:rsidRPr="00352DBC">
        <w:t>All Reports</w:t>
      </w:r>
    </w:p>
    <w:p w:rsidR="00352DBC" w:rsidRPr="00352DBC" w:rsidRDefault="00352DBC" w:rsidP="00352DBC">
      <w:pPr>
        <w:pStyle w:val="NormalWeb"/>
        <w:rPr>
          <w:rFonts w:asciiTheme="minorHAnsi" w:hAnsiTheme="minorHAnsi"/>
        </w:rPr>
      </w:pPr>
      <w:r w:rsidRPr="00352DBC">
        <w:rPr>
          <w:rFonts w:asciiTheme="minorHAnsi" w:hAnsiTheme="minorHAnsi"/>
        </w:rPr>
        <w:br/>
        <w:t>Admins set parameters for running each report, including</w:t>
      </w:r>
    </w:p>
    <w:p w:rsidR="00352DBC" w:rsidRPr="00352DBC" w:rsidRDefault="00352DBC" w:rsidP="00352DBC">
      <w:pPr>
        <w:numPr>
          <w:ilvl w:val="0"/>
          <w:numId w:val="18"/>
        </w:numPr>
        <w:spacing w:before="100" w:beforeAutospacing="1" w:after="100" w:afterAutospacing="1"/>
      </w:pPr>
      <w:r w:rsidRPr="00352DBC">
        <w:t>selecting FAR section(s)</w:t>
      </w:r>
    </w:p>
    <w:p w:rsidR="00352DBC" w:rsidRPr="00352DBC" w:rsidRDefault="00352DBC" w:rsidP="00352DBC">
      <w:pPr>
        <w:numPr>
          <w:ilvl w:val="0"/>
          <w:numId w:val="18"/>
        </w:numPr>
        <w:spacing w:before="100" w:beforeAutospacing="1" w:after="100" w:afterAutospacing="1"/>
      </w:pPr>
      <w:r w:rsidRPr="00352DBC">
        <w:t>selecting department(s)</w:t>
      </w:r>
    </w:p>
    <w:p w:rsidR="00352DBC" w:rsidRPr="00352DBC" w:rsidRDefault="00352DBC" w:rsidP="00352DBC">
      <w:pPr>
        <w:numPr>
          <w:ilvl w:val="0"/>
          <w:numId w:val="18"/>
        </w:numPr>
        <w:spacing w:before="100" w:beforeAutospacing="1" w:after="100" w:afterAutospacing="1"/>
      </w:pPr>
      <w:r w:rsidRPr="00352DBC">
        <w:t>selecting flags (international, interdisciplinary, community engagement)</w:t>
      </w:r>
    </w:p>
    <w:p w:rsidR="00352DBC" w:rsidRPr="00352DBC" w:rsidRDefault="00352DBC" w:rsidP="00352DBC">
      <w:pPr>
        <w:numPr>
          <w:ilvl w:val="0"/>
          <w:numId w:val="18"/>
        </w:numPr>
        <w:spacing w:before="100" w:beforeAutospacing="1" w:after="100" w:afterAutospacing="1"/>
      </w:pPr>
      <w:r w:rsidRPr="00352DBC">
        <w:t>selecting date ranges</w:t>
      </w:r>
    </w:p>
    <w:p w:rsidR="00352DBC" w:rsidRPr="00352DBC" w:rsidRDefault="00352DBC" w:rsidP="00352DBC">
      <w:pPr>
        <w:numPr>
          <w:ilvl w:val="0"/>
          <w:numId w:val="18"/>
        </w:numPr>
        <w:spacing w:before="100" w:beforeAutospacing="1" w:after="100" w:afterAutospacing="1"/>
      </w:pPr>
      <w:r w:rsidRPr="00352DBC">
        <w:t>selecting regular, auxiliary, or all faculty</w:t>
      </w:r>
    </w:p>
    <w:p w:rsidR="00352DBC" w:rsidRPr="00352DBC" w:rsidRDefault="00352DBC" w:rsidP="00352DBC">
      <w:pPr>
        <w:pStyle w:val="NormalWeb"/>
        <w:rPr>
          <w:rFonts w:asciiTheme="minorHAnsi" w:hAnsiTheme="minorHAnsi"/>
        </w:rPr>
      </w:pPr>
      <w:r w:rsidRPr="00352DBC">
        <w:rPr>
          <w:rFonts w:asciiTheme="minorHAnsi" w:hAnsiTheme="minorHAnsi"/>
        </w:rPr>
        <w:br/>
        <w:t xml:space="preserve">To access individual faculty FARs and CVs, login to </w:t>
      </w:r>
      <w:hyperlink r:id="rId38" w:history="1">
        <w:r w:rsidRPr="00352DBC">
          <w:rPr>
            <w:rStyle w:val="Hyperlink"/>
            <w:rFonts w:asciiTheme="minorHAnsi" w:hAnsiTheme="minorHAnsi"/>
          </w:rPr>
          <w:t>FAR Reports</w:t>
        </w:r>
      </w:hyperlink>
      <w:r w:rsidRPr="00352DBC">
        <w:rPr>
          <w:rFonts w:asciiTheme="minorHAnsi" w:hAnsiTheme="minorHAnsi"/>
        </w:rPr>
        <w:t xml:space="preserve"> - you'll land in the Aggregate Reports area. Click the INDIVIDUAL FARS link in the tan bar near the top of the webpage.</w:t>
      </w:r>
    </w:p>
    <w:p w:rsidR="00352DBC" w:rsidRDefault="00352DBC" w:rsidP="00352DBC">
      <w:pPr>
        <w:pStyle w:val="NormalWeb"/>
        <w:pBdr>
          <w:bottom w:val="single" w:sz="6" w:space="1" w:color="auto"/>
        </w:pBdr>
        <w:rPr>
          <w:rFonts w:asciiTheme="minorHAnsi" w:hAnsiTheme="minorHAnsi"/>
        </w:rPr>
      </w:pPr>
      <w:r w:rsidRPr="00352DBC">
        <w:rPr>
          <w:rFonts w:asciiTheme="minorHAnsi" w:hAnsiTheme="minorHAnsi"/>
        </w:rPr>
        <w:br/>
        <w:t>If your college would like a demo of the FAR Reports system or other FAR-related systems, please contact Heather Call (contact information below).</w:t>
      </w:r>
    </w:p>
    <w:p w:rsidR="00352DBC" w:rsidRDefault="00352DBC" w:rsidP="00352DBC">
      <w:pPr>
        <w:pStyle w:val="NormalWeb"/>
        <w:pBdr>
          <w:bottom w:val="single" w:sz="6" w:space="1" w:color="auto"/>
        </w:pBdr>
        <w:rPr>
          <w:rFonts w:asciiTheme="minorHAnsi" w:hAnsiTheme="minorHAnsi"/>
        </w:rPr>
      </w:pPr>
    </w:p>
    <w:p w:rsidR="00352DBC" w:rsidRPr="00352DBC" w:rsidRDefault="00352DBC" w:rsidP="00352DBC">
      <w:pPr>
        <w:pStyle w:val="Heading1"/>
        <w:rPr>
          <w:rFonts w:asciiTheme="minorHAnsi" w:hAnsiTheme="minorHAnsi"/>
        </w:rPr>
      </w:pPr>
      <w:r w:rsidRPr="00352DBC">
        <w:rPr>
          <w:rFonts w:asciiTheme="minorHAnsi" w:hAnsiTheme="minorHAnsi"/>
        </w:rPr>
        <w:t>FAR Self Service</w:t>
      </w:r>
    </w:p>
    <w:p w:rsidR="00352DBC" w:rsidRPr="00352DBC" w:rsidRDefault="00352DBC" w:rsidP="00352DBC">
      <w:pPr>
        <w:pStyle w:val="NormalWeb"/>
        <w:rPr>
          <w:rFonts w:asciiTheme="minorHAnsi" w:hAnsiTheme="minorHAnsi"/>
        </w:rPr>
      </w:pPr>
      <w:r w:rsidRPr="00352DBC">
        <w:rPr>
          <w:rStyle w:val="Strong"/>
          <w:rFonts w:asciiTheme="minorHAnsi" w:eastAsiaTheme="majorEastAsia" w:hAnsiTheme="minorHAnsi"/>
        </w:rPr>
        <w:t xml:space="preserve">FAR Self Service </w:t>
      </w:r>
      <w:hyperlink r:id="rId39" w:history="1">
        <w:r w:rsidRPr="00352DBC">
          <w:rPr>
            <w:rStyle w:val="Hyperlink"/>
            <w:rFonts w:asciiTheme="minorHAnsi" w:hAnsiTheme="minorHAnsi"/>
            <w:b/>
            <w:bCs/>
          </w:rPr>
          <w:t>https://faculty.utah.edu/selfservice/</w:t>
        </w:r>
      </w:hyperlink>
    </w:p>
    <w:p w:rsidR="00352DBC" w:rsidRPr="00352DBC" w:rsidRDefault="00352DBC" w:rsidP="00352DBC">
      <w:pPr>
        <w:pStyle w:val="NormalWeb"/>
        <w:rPr>
          <w:rFonts w:asciiTheme="minorHAnsi" w:hAnsiTheme="minorHAnsi"/>
        </w:rPr>
      </w:pPr>
      <w:r w:rsidRPr="00352DBC">
        <w:rPr>
          <w:rFonts w:asciiTheme="minorHAnsi" w:hAnsiTheme="minorHAnsi"/>
        </w:rPr>
        <w:t xml:space="preserve">For FAR admins. U employees with departmental or college FAR admin access have the ability to perform a range of administrative tasks directly in the system. </w:t>
      </w:r>
    </w:p>
    <w:p w:rsidR="00352DBC" w:rsidRPr="00352DBC" w:rsidRDefault="00352DBC" w:rsidP="00352DBC">
      <w:pPr>
        <w:pStyle w:val="NormalWeb"/>
        <w:rPr>
          <w:rFonts w:asciiTheme="minorHAnsi" w:hAnsiTheme="minorHAnsi"/>
        </w:rPr>
      </w:pPr>
      <w:r w:rsidRPr="00352DBC">
        <w:rPr>
          <w:rFonts w:asciiTheme="minorHAnsi" w:hAnsiTheme="minorHAnsi"/>
        </w:rPr>
        <w:t xml:space="preserve">FAR Admins may </w:t>
      </w:r>
    </w:p>
    <w:p w:rsidR="00352DBC" w:rsidRPr="00352DBC" w:rsidRDefault="00352DBC" w:rsidP="00352DBC">
      <w:pPr>
        <w:numPr>
          <w:ilvl w:val="0"/>
          <w:numId w:val="19"/>
        </w:numPr>
        <w:spacing w:before="100" w:beforeAutospacing="1" w:after="100" w:afterAutospacing="1"/>
      </w:pPr>
      <w:r w:rsidRPr="00352DBC">
        <w:t>give other U employees admin access</w:t>
      </w:r>
    </w:p>
    <w:p w:rsidR="00352DBC" w:rsidRPr="00352DBC" w:rsidRDefault="00352DBC" w:rsidP="00352DBC">
      <w:pPr>
        <w:numPr>
          <w:ilvl w:val="0"/>
          <w:numId w:val="19"/>
        </w:numPr>
        <w:spacing w:before="100" w:beforeAutospacing="1" w:after="100" w:afterAutospacing="1"/>
      </w:pPr>
      <w:r w:rsidRPr="00352DBC">
        <w:t>designate department- or college-wide proxy access to faculty FARs and Profile Websites</w:t>
      </w:r>
    </w:p>
    <w:p w:rsidR="00352DBC" w:rsidRPr="00352DBC" w:rsidRDefault="00352DBC" w:rsidP="00352DBC">
      <w:pPr>
        <w:numPr>
          <w:ilvl w:val="0"/>
          <w:numId w:val="19"/>
        </w:numPr>
        <w:spacing w:before="100" w:beforeAutospacing="1" w:after="100" w:afterAutospacing="1"/>
      </w:pPr>
      <w:r w:rsidRPr="00352DBC">
        <w:t>set FAR year start and end dates</w:t>
      </w:r>
    </w:p>
    <w:p w:rsidR="00352DBC" w:rsidRPr="00352DBC" w:rsidRDefault="00352DBC" w:rsidP="00352DBC">
      <w:pPr>
        <w:numPr>
          <w:ilvl w:val="0"/>
          <w:numId w:val="19"/>
        </w:numPr>
        <w:spacing w:before="100" w:beforeAutospacing="1" w:after="100" w:afterAutospacing="1"/>
      </w:pPr>
      <w:r w:rsidRPr="00352DBC">
        <w:t xml:space="preserve">and more </w:t>
      </w:r>
    </w:p>
    <w:p w:rsidR="00352DBC" w:rsidRPr="00352DBC" w:rsidRDefault="00352DBC" w:rsidP="00352DBC">
      <w:pPr>
        <w:pStyle w:val="NormalWeb"/>
        <w:rPr>
          <w:rFonts w:asciiTheme="minorHAnsi" w:hAnsiTheme="minorHAnsi"/>
        </w:rPr>
      </w:pPr>
      <w:r w:rsidRPr="00352DBC">
        <w:rPr>
          <w:rFonts w:asciiTheme="minorHAnsi" w:hAnsiTheme="minorHAnsi"/>
        </w:rPr>
        <w:t>Department-level FAR admins have rights to their departmental settings; college-level admins have rights to the college’s settings and all departmental settings within the college.</w:t>
      </w:r>
    </w:p>
    <w:p w:rsidR="00352DBC" w:rsidRPr="00352DBC" w:rsidRDefault="00352DBC" w:rsidP="00352DBC">
      <w:pPr>
        <w:pStyle w:val="NormalWeb"/>
        <w:rPr>
          <w:rFonts w:asciiTheme="minorHAnsi" w:hAnsiTheme="minorHAnsi"/>
        </w:rPr>
      </w:pPr>
      <w:r w:rsidRPr="00352DBC">
        <w:rPr>
          <w:rFonts w:asciiTheme="minorHAnsi" w:hAnsiTheme="minorHAnsi"/>
        </w:rPr>
        <w:t>If your college would like a demo of the FAR Self Service system or other FAR-related systems, please contact Heather Call (contact information below).</w:t>
      </w:r>
    </w:p>
    <w:p w:rsidR="00352DBC" w:rsidRPr="00352DBC" w:rsidRDefault="00352DBC"/>
    <w:sectPr w:rsidR="00352DBC" w:rsidRPr="00352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5EC"/>
    <w:multiLevelType w:val="multilevel"/>
    <w:tmpl w:val="CAF4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810A4"/>
    <w:multiLevelType w:val="multilevel"/>
    <w:tmpl w:val="15C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74D1A"/>
    <w:multiLevelType w:val="multilevel"/>
    <w:tmpl w:val="28CED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D083F"/>
    <w:multiLevelType w:val="multilevel"/>
    <w:tmpl w:val="1F986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404C"/>
    <w:multiLevelType w:val="multilevel"/>
    <w:tmpl w:val="D99A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56064"/>
    <w:multiLevelType w:val="multilevel"/>
    <w:tmpl w:val="3F065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45008"/>
    <w:multiLevelType w:val="multilevel"/>
    <w:tmpl w:val="1400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73ECE"/>
    <w:multiLevelType w:val="multilevel"/>
    <w:tmpl w:val="6FE6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4317A"/>
    <w:multiLevelType w:val="multilevel"/>
    <w:tmpl w:val="7F7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44580"/>
    <w:multiLevelType w:val="multilevel"/>
    <w:tmpl w:val="0C1CF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50351"/>
    <w:multiLevelType w:val="multilevel"/>
    <w:tmpl w:val="E91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92128"/>
    <w:multiLevelType w:val="multilevel"/>
    <w:tmpl w:val="622A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04229"/>
    <w:multiLevelType w:val="multilevel"/>
    <w:tmpl w:val="B5F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14ED3"/>
    <w:multiLevelType w:val="multilevel"/>
    <w:tmpl w:val="4FF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783E0C"/>
    <w:multiLevelType w:val="multilevel"/>
    <w:tmpl w:val="31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B28D6"/>
    <w:multiLevelType w:val="multilevel"/>
    <w:tmpl w:val="A4D2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E10E0D"/>
    <w:multiLevelType w:val="multilevel"/>
    <w:tmpl w:val="712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C0052"/>
    <w:multiLevelType w:val="multilevel"/>
    <w:tmpl w:val="FE90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50C2F"/>
    <w:multiLevelType w:val="multilevel"/>
    <w:tmpl w:val="500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1"/>
  </w:num>
  <w:num w:numId="4">
    <w:abstractNumId w:val="16"/>
  </w:num>
  <w:num w:numId="5">
    <w:abstractNumId w:val="0"/>
  </w:num>
  <w:num w:numId="6">
    <w:abstractNumId w:val="14"/>
  </w:num>
  <w:num w:numId="7">
    <w:abstractNumId w:val="4"/>
  </w:num>
  <w:num w:numId="8">
    <w:abstractNumId w:val="17"/>
  </w:num>
  <w:num w:numId="9">
    <w:abstractNumId w:val="3"/>
  </w:num>
  <w:num w:numId="10">
    <w:abstractNumId w:val="9"/>
  </w:num>
  <w:num w:numId="11">
    <w:abstractNumId w:val="12"/>
  </w:num>
  <w:num w:numId="12">
    <w:abstractNumId w:val="5"/>
  </w:num>
  <w:num w:numId="13">
    <w:abstractNumId w:val="1"/>
  </w:num>
  <w:num w:numId="14">
    <w:abstractNumId w:val="2"/>
  </w:num>
  <w:num w:numId="15">
    <w:abstractNumId w:val="15"/>
  </w:num>
  <w:num w:numId="16">
    <w:abstractNumId w:val="6"/>
  </w:num>
  <w:num w:numId="17">
    <w:abstractNumId w:val="1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C"/>
    <w:rsid w:val="000A1C1F"/>
    <w:rsid w:val="00352DBC"/>
    <w:rsid w:val="00B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D560B-3616-48AF-BAC6-B37DC39E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BC"/>
    <w:pPr>
      <w:spacing w:after="0" w:line="240" w:lineRule="auto"/>
    </w:pPr>
  </w:style>
  <w:style w:type="paragraph" w:styleId="Heading1">
    <w:name w:val="heading 1"/>
    <w:basedOn w:val="Normal"/>
    <w:next w:val="Normal"/>
    <w:link w:val="Heading1Char"/>
    <w:uiPriority w:val="9"/>
    <w:qFormat/>
    <w:rsid w:val="00352D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52D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DB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2DBC"/>
    <w:rPr>
      <w:color w:val="0563C1" w:themeColor="hyperlink"/>
      <w:u w:val="single"/>
    </w:rPr>
  </w:style>
  <w:style w:type="paragraph" w:styleId="NormalWeb">
    <w:name w:val="Normal (Web)"/>
    <w:basedOn w:val="Normal"/>
    <w:uiPriority w:val="99"/>
    <w:unhideWhenUsed/>
    <w:rsid w:val="00352D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52DBC"/>
    <w:rPr>
      <w:b/>
      <w:bCs/>
    </w:rPr>
  </w:style>
  <w:style w:type="character" w:styleId="Emphasis">
    <w:name w:val="Emphasis"/>
    <w:basedOn w:val="DefaultParagraphFont"/>
    <w:uiPriority w:val="20"/>
    <w:qFormat/>
    <w:rsid w:val="00352DBC"/>
    <w:rPr>
      <w:i/>
      <w:iCs/>
    </w:rPr>
  </w:style>
  <w:style w:type="character" w:customStyle="1" w:styleId="Heading1Char">
    <w:name w:val="Heading 1 Char"/>
    <w:basedOn w:val="DefaultParagraphFont"/>
    <w:link w:val="Heading1"/>
    <w:uiPriority w:val="9"/>
    <w:rsid w:val="00352DB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1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852">
      <w:bodyDiv w:val="1"/>
      <w:marLeft w:val="0"/>
      <w:marRight w:val="0"/>
      <w:marTop w:val="0"/>
      <w:marBottom w:val="0"/>
      <w:divBdr>
        <w:top w:val="none" w:sz="0" w:space="0" w:color="auto"/>
        <w:left w:val="none" w:sz="0" w:space="0" w:color="auto"/>
        <w:bottom w:val="none" w:sz="0" w:space="0" w:color="auto"/>
        <w:right w:val="none" w:sz="0" w:space="0" w:color="auto"/>
      </w:divBdr>
    </w:div>
    <w:div w:id="330837673">
      <w:bodyDiv w:val="1"/>
      <w:marLeft w:val="0"/>
      <w:marRight w:val="0"/>
      <w:marTop w:val="0"/>
      <w:marBottom w:val="0"/>
      <w:divBdr>
        <w:top w:val="none" w:sz="0" w:space="0" w:color="auto"/>
        <w:left w:val="none" w:sz="0" w:space="0" w:color="auto"/>
        <w:bottom w:val="none" w:sz="0" w:space="0" w:color="auto"/>
        <w:right w:val="none" w:sz="0" w:space="0" w:color="auto"/>
      </w:divBdr>
    </w:div>
    <w:div w:id="672612996">
      <w:bodyDiv w:val="1"/>
      <w:marLeft w:val="0"/>
      <w:marRight w:val="0"/>
      <w:marTop w:val="0"/>
      <w:marBottom w:val="0"/>
      <w:divBdr>
        <w:top w:val="none" w:sz="0" w:space="0" w:color="auto"/>
        <w:left w:val="none" w:sz="0" w:space="0" w:color="auto"/>
        <w:bottom w:val="none" w:sz="0" w:space="0" w:color="auto"/>
        <w:right w:val="none" w:sz="0" w:space="0" w:color="auto"/>
      </w:divBdr>
    </w:div>
    <w:div w:id="851648726">
      <w:bodyDiv w:val="1"/>
      <w:marLeft w:val="0"/>
      <w:marRight w:val="0"/>
      <w:marTop w:val="0"/>
      <w:marBottom w:val="0"/>
      <w:divBdr>
        <w:top w:val="none" w:sz="0" w:space="0" w:color="auto"/>
        <w:left w:val="none" w:sz="0" w:space="0" w:color="auto"/>
        <w:bottom w:val="none" w:sz="0" w:space="0" w:color="auto"/>
        <w:right w:val="none" w:sz="0" w:space="0" w:color="auto"/>
      </w:divBdr>
    </w:div>
    <w:div w:id="1036126498">
      <w:bodyDiv w:val="1"/>
      <w:marLeft w:val="0"/>
      <w:marRight w:val="0"/>
      <w:marTop w:val="0"/>
      <w:marBottom w:val="0"/>
      <w:divBdr>
        <w:top w:val="none" w:sz="0" w:space="0" w:color="auto"/>
        <w:left w:val="none" w:sz="0" w:space="0" w:color="auto"/>
        <w:bottom w:val="none" w:sz="0" w:space="0" w:color="auto"/>
        <w:right w:val="none" w:sz="0" w:space="0" w:color="auto"/>
      </w:divBdr>
    </w:div>
    <w:div w:id="1122190070">
      <w:bodyDiv w:val="1"/>
      <w:marLeft w:val="0"/>
      <w:marRight w:val="0"/>
      <w:marTop w:val="0"/>
      <w:marBottom w:val="0"/>
      <w:divBdr>
        <w:top w:val="none" w:sz="0" w:space="0" w:color="auto"/>
        <w:left w:val="none" w:sz="0" w:space="0" w:color="auto"/>
        <w:bottom w:val="none" w:sz="0" w:space="0" w:color="auto"/>
        <w:right w:val="none" w:sz="0" w:space="0" w:color="auto"/>
      </w:divBdr>
    </w:div>
    <w:div w:id="1949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culty.utah.edu/selfservice/" TargetMode="External"/><Relationship Id="rId18" Type="http://schemas.openxmlformats.org/officeDocument/2006/relationships/hyperlink" Target="https://gate.acs.utah.edu/psp/plpr/EMPLOYEE/EMPL/h/?tab=PAPP_GUEST" TargetMode="External"/><Relationship Id="rId26" Type="http://schemas.openxmlformats.org/officeDocument/2006/relationships/hyperlink" Target="http://www.utah.edu/portal/site/uuhome/menuitem.ddac5bbd6efcaf8ab123b610c1e916b9/?vgnextoid=1223584d6f665110VgnVCM1000001c9e619bRCRD" TargetMode="External"/><Relationship Id="rId39" Type="http://schemas.openxmlformats.org/officeDocument/2006/relationships/hyperlink" Target="https://faculty.utah.edu/selfservice/" TargetMode="External"/><Relationship Id="rId21" Type="http://schemas.openxmlformats.org/officeDocument/2006/relationships/hyperlink" Target="https://www.acs.utah.edu/uofu/stu/GraduateTracking/" TargetMode="External"/><Relationship Id="rId34" Type="http://schemas.openxmlformats.org/officeDocument/2006/relationships/hyperlink" Target="https://faculty.utah.edu/activityreport" TargetMode="External"/><Relationship Id="rId7" Type="http://schemas.openxmlformats.org/officeDocument/2006/relationships/hyperlink" Target="http://it.utah.edu" TargetMode="External"/><Relationship Id="rId2" Type="http://schemas.openxmlformats.org/officeDocument/2006/relationships/styles" Target="styles.xml"/><Relationship Id="rId16" Type="http://schemas.openxmlformats.org/officeDocument/2006/relationships/hyperlink" Target="https://gate.acs.utah.edu/psp/plpr/EMPLOYEE/EMPL/h/?tab=PAPP_GUEST" TargetMode="External"/><Relationship Id="rId20" Type="http://schemas.openxmlformats.org/officeDocument/2006/relationships/hyperlink" Target="http://www.tco.utah.edu/"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ofu.service-now.com/cf/catalog.do" TargetMode="External"/><Relationship Id="rId11" Type="http://schemas.openxmlformats.org/officeDocument/2006/relationships/hyperlink" Target="https://faculty.utah.edu/activityreport" TargetMode="External"/><Relationship Id="rId24" Type="http://schemas.openxmlformats.org/officeDocument/2006/relationships/hyperlink" Target="http://tlt.utah.edu/" TargetMode="External"/><Relationship Id="rId32" Type="http://schemas.openxmlformats.org/officeDocument/2006/relationships/image" Target="media/image4.png"/><Relationship Id="rId37" Type="http://schemas.openxmlformats.org/officeDocument/2006/relationships/hyperlink" Target="https://faculty.utah.edu/reports" TargetMode="External"/><Relationship Id="rId40" Type="http://schemas.openxmlformats.org/officeDocument/2006/relationships/fontTable" Target="fontTable.xml"/><Relationship Id="rId5" Type="http://schemas.openxmlformats.org/officeDocument/2006/relationships/hyperlink" Target="https://uofu.service-now.com/cf/kb_find.do" TargetMode="External"/><Relationship Id="rId15" Type="http://schemas.openxmlformats.org/officeDocument/2006/relationships/hyperlink" Target="https://gate.acs.utah.edu/psp/plpr/EMPLOYEE/EMPL/h/?tab=PAPP_GUEST" TargetMode="External"/><Relationship Id="rId23" Type="http://schemas.openxmlformats.org/officeDocument/2006/relationships/hyperlink" Target="http://www.lib.utah.edu/services/digital-scholarship-lab/index.php" TargetMode="External"/><Relationship Id="rId28" Type="http://schemas.openxmlformats.org/officeDocument/2006/relationships/hyperlink" Target="http://faculty.utah.edu/" TargetMode="External"/><Relationship Id="rId36" Type="http://schemas.openxmlformats.org/officeDocument/2006/relationships/hyperlink" Target="http://faculty.utah.edu/findaresearcher/" TargetMode="External"/><Relationship Id="rId10" Type="http://schemas.openxmlformats.org/officeDocument/2006/relationships/hyperlink" Target="http://faculty.utah.edu/findaresearcher/" TargetMode="External"/><Relationship Id="rId19" Type="http://schemas.openxmlformats.org/officeDocument/2006/relationships/hyperlink" Target="http://tvc.utah.edu/"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aculty.utah.edu" TargetMode="External"/><Relationship Id="rId14" Type="http://schemas.openxmlformats.org/officeDocument/2006/relationships/hyperlink" Target="http://www.chpc.utah.edu/" TargetMode="External"/><Relationship Id="rId22" Type="http://schemas.openxmlformats.org/officeDocument/2006/relationships/hyperlink" Target="http://www.ctle.utah.edu/" TargetMode="External"/><Relationship Id="rId27" Type="http://schemas.openxmlformats.org/officeDocument/2006/relationships/hyperlink" Target="https://faculty.utah.edu/findaresearcher/" TargetMode="External"/><Relationship Id="rId30" Type="http://schemas.openxmlformats.org/officeDocument/2006/relationships/image" Target="media/image2.png"/><Relationship Id="rId35" Type="http://schemas.openxmlformats.org/officeDocument/2006/relationships/hyperlink" Target="https://faculty.utah.edu/activityreport" TargetMode="External"/><Relationship Id="rId8" Type="http://schemas.openxmlformats.org/officeDocument/2006/relationships/hyperlink" Target="http://cio.utah.edu" TargetMode="External"/><Relationship Id="rId3" Type="http://schemas.openxmlformats.org/officeDocument/2006/relationships/settings" Target="settings.xml"/><Relationship Id="rId12" Type="http://schemas.openxmlformats.org/officeDocument/2006/relationships/hyperlink" Target="https://faculty.utah.edu/reports/" TargetMode="External"/><Relationship Id="rId17" Type="http://schemas.openxmlformats.org/officeDocument/2006/relationships/hyperlink" Target="https://gate.acs.utah.edu/psp/plpr/EMPLOYEE/EMPL/h/?tab=PAPP_GUEST" TargetMode="External"/><Relationship Id="rId25" Type="http://schemas.openxmlformats.org/officeDocument/2006/relationships/hyperlink" Target="http://www.tacc.utah.edu/" TargetMode="External"/><Relationship Id="rId33" Type="http://schemas.openxmlformats.org/officeDocument/2006/relationships/image" Target="media/image5.png"/><Relationship Id="rId38" Type="http://schemas.openxmlformats.org/officeDocument/2006/relationships/hyperlink" Target="https://faculty.utah.edu/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UIT Knowledge Base (self-service help articles)</vt:lpstr>
      <vt:lpstr>    https://uofu.service-now.com/cf/kb_find.do </vt:lpstr>
      <vt:lpstr>    </vt:lpstr>
      <vt:lpstr>    UIT Service Catalog</vt:lpstr>
      <vt:lpstr>    https://uofu.service-now.com/cf/catalog.do </vt:lpstr>
      <vt:lpstr>    </vt:lpstr>
      <vt:lpstr>    UIT Website</vt:lpstr>
      <vt:lpstr>    http://it.utah.edu </vt:lpstr>
      <vt:lpstr>    </vt:lpstr>
      <vt:lpstr>    CIO Website, including IT governance information</vt:lpstr>
      <vt:lpstr>    http://cio.utah.edu </vt:lpstr>
      <vt:lpstr>    </vt:lpstr>
      <vt:lpstr>    FACULTY ACTIVITY REPORTING SYSTEMS</vt:lpstr>
      <vt:lpstr>    RESEARCH</vt:lpstr>
      <vt:lpstr>    TEACHING</vt:lpstr>
      <vt:lpstr>Profile Website System</vt:lpstr>
      <vt:lpstr>Faculty Activity Report (FAR) </vt:lpstr>
      <vt:lpstr>    FAR Section Overview</vt:lpstr>
      <vt:lpstr>    History of the FAR System</vt:lpstr>
      <vt:lpstr>FAR Reports</vt:lpstr>
      <vt:lpstr>FAR Self Service</vt:lpstr>
    </vt:vector>
  </TitlesOfParts>
  <Company>Microsoft</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Van Buren, Ph.D.</dc:creator>
  <cp:keywords/>
  <dc:description/>
  <cp:lastModifiedBy>Cassandra Van Buren, Ph.D.</cp:lastModifiedBy>
  <cp:revision>1</cp:revision>
  <dcterms:created xsi:type="dcterms:W3CDTF">2014-03-10T20:32:00Z</dcterms:created>
  <dcterms:modified xsi:type="dcterms:W3CDTF">2014-03-10T20:53:00Z</dcterms:modified>
</cp:coreProperties>
</file>